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44"/>
        <w:gridCol w:w="4645"/>
      </w:tblGrid>
      <w:tr w:rsidR="000D6A84" w:rsidRPr="00156512" w:rsidTr="006D78CA">
        <w:trPr>
          <w:cantSplit/>
        </w:trPr>
        <w:tc>
          <w:tcPr>
            <w:tcW w:w="4644" w:type="dxa"/>
          </w:tcPr>
          <w:p w:rsidR="000D6A84" w:rsidRPr="00156512" w:rsidRDefault="00C46910" w:rsidP="00336D5E">
            <w:pPr>
              <w:spacing w:line="281" w:lineRule="auto"/>
            </w:pPr>
            <w:r w:rsidRPr="00156512">
              <w:rPr>
                <w:rFonts w:eastAsia="Arial Unicode MS"/>
                <w:lang w:eastAsia="fr-BE" w:bidi="ar-SA"/>
              </w:rPr>
              <w:drawing>
                <wp:inline distT="0" distB="0" distL="0" distR="0" wp14:anchorId="1AA8F3BA" wp14:editId="5E9ADC5E">
                  <wp:extent cx="1799590" cy="1555750"/>
                  <wp:effectExtent l="0" t="0" r="0" b="6350"/>
                  <wp:docPr id="1" name="Picture 1" title="CoRLogo_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99590" cy="1555750"/>
                          </a:xfrm>
                          <a:prstGeom prst="rect">
                            <a:avLst/>
                          </a:prstGeom>
                        </pic:spPr>
                      </pic:pic>
                    </a:graphicData>
                  </a:graphic>
                </wp:inline>
              </w:drawing>
            </w:r>
            <w:r w:rsidR="00FF71A6" w:rsidRPr="00156512">
              <w:rPr>
                <w:lang w:eastAsia="fr-BE" w:bidi="ar-SA"/>
              </w:rPr>
              <mc:AlternateContent>
                <mc:Choice Requires="wps">
                  <w:drawing>
                    <wp:anchor distT="0" distB="0" distL="114300" distR="114300" simplePos="0" relativeHeight="251663360" behindDoc="1" locked="0" layoutInCell="0" allowOverlap="1" wp14:anchorId="7604EC05" wp14:editId="35DF6EE8">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629" w:rsidRPr="00AD2CB0" w:rsidRDefault="004827B8" w:rsidP="002D1629">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2.9pt;margin-top:793.7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o:allowincell="f" filled="f" stroked="f">
                      <v:textbox>
                        <w:txbxContent>
                          <w:p w:rsidR="002D1629" w:rsidRPr="00AD2CB0" w:rsidRDefault="004827B8" w:rsidP="002D1629">
                            <w:pPr>
                              <w:jc w:val="center"/>
                              <w:rPr>
                                <w:rFonts w:ascii="Arial" w:hAnsi="Arial" w:cs="Arial"/>
                                <w:b/>
                                <w:bCs/>
                                <w:sz w:val="48"/>
                              </w:rPr>
                            </w:pPr>
                            <w:r>
                              <w:rPr>
                                <w:rFonts w:ascii="Arial" w:hAnsi="Arial"/>
                                <w:b/>
                                <w:sz w:val="48"/>
                              </w:rPr>
                              <w:t>EN</w:t>
                            </w:r>
                          </w:p>
                        </w:txbxContent>
                      </v:textbox>
                      <w10:wrap anchorx="page" anchory="page"/>
                    </v:shape>
                  </w:pict>
                </mc:Fallback>
              </mc:AlternateContent>
            </w:r>
            <w:r w:rsidR="00FF71A6" w:rsidRPr="00156512">
              <w:rPr>
                <w:b/>
                <w:bCs/>
                <w:lang w:eastAsia="fr-BE" w:bidi="ar-SA"/>
              </w:rPr>
              <w:drawing>
                <wp:anchor distT="0" distB="0" distL="114300" distR="114300" simplePos="0" relativeHeight="251665408" behindDoc="0" locked="0" layoutInCell="0" allowOverlap="0" wp14:anchorId="57AE941F" wp14:editId="5F753AEF">
                  <wp:simplePos x="0" y="0"/>
                  <wp:positionH relativeFrom="page">
                    <wp:posOffset>900430</wp:posOffset>
                  </wp:positionH>
                  <wp:positionV relativeFrom="page">
                    <wp:posOffset>10185400</wp:posOffset>
                  </wp:positionV>
                  <wp:extent cx="5727600" cy="266400"/>
                  <wp:effectExtent l="0" t="0" r="0"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45" w:type="dxa"/>
          </w:tcPr>
          <w:p w:rsidR="000D6A84" w:rsidRPr="00156512" w:rsidRDefault="000D6A84" w:rsidP="00336D5E">
            <w:pPr>
              <w:spacing w:line="281" w:lineRule="auto"/>
            </w:pPr>
          </w:p>
        </w:tc>
      </w:tr>
      <w:tr w:rsidR="00444A98" w:rsidRPr="00156512" w:rsidTr="006D78CA">
        <w:trPr>
          <w:cantSplit/>
        </w:trPr>
        <w:tc>
          <w:tcPr>
            <w:tcW w:w="9289" w:type="dxa"/>
            <w:gridSpan w:val="2"/>
          </w:tcPr>
          <w:p w:rsidR="00444A98" w:rsidRPr="00156512" w:rsidRDefault="009426D8" w:rsidP="00336D5E">
            <w:pPr>
              <w:spacing w:line="281" w:lineRule="auto"/>
              <w:jc w:val="right"/>
              <w:rPr>
                <w:b/>
                <w:bCs/>
                <w:sz w:val="28"/>
              </w:rPr>
            </w:pPr>
            <w:r w:rsidRPr="00156512">
              <w:rPr>
                <w:b/>
                <w:sz w:val="28"/>
              </w:rPr>
              <w:t>SEDEC-VI/029</w:t>
            </w:r>
          </w:p>
        </w:tc>
      </w:tr>
      <w:tr w:rsidR="00444A98" w:rsidRPr="00156512" w:rsidTr="006D78CA">
        <w:tc>
          <w:tcPr>
            <w:tcW w:w="9289" w:type="dxa"/>
            <w:gridSpan w:val="2"/>
          </w:tcPr>
          <w:p w:rsidR="00444A98" w:rsidRPr="00156512" w:rsidRDefault="009426D8" w:rsidP="00336D5E">
            <w:pPr>
              <w:spacing w:line="281" w:lineRule="auto"/>
              <w:jc w:val="center"/>
              <w:rPr>
                <w:b/>
                <w:bCs/>
                <w:sz w:val="28"/>
              </w:rPr>
            </w:pPr>
            <w:r w:rsidRPr="00156512">
              <w:rPr>
                <w:b/>
                <w:sz w:val="28"/>
              </w:rPr>
              <w:t>15th commission meeting, 28 September 2017</w:t>
            </w:r>
          </w:p>
        </w:tc>
      </w:tr>
    </w:tbl>
    <w:p w:rsidR="00444A98" w:rsidRPr="00156512" w:rsidRDefault="00444A98" w:rsidP="00336D5E">
      <w:pPr>
        <w:spacing w:line="281" w:lineRule="auto"/>
      </w:pPr>
    </w:p>
    <w:p w:rsidR="00444A98" w:rsidRPr="00156512" w:rsidRDefault="00444A98" w:rsidP="00336D5E">
      <w:pPr>
        <w:spacing w:line="281" w:lineRule="auto"/>
      </w:pPr>
    </w:p>
    <w:p w:rsidR="001B33A4" w:rsidRPr="00156512" w:rsidRDefault="00444A98" w:rsidP="00336D5E">
      <w:pPr>
        <w:spacing w:line="281" w:lineRule="auto"/>
        <w:jc w:val="center"/>
        <w:rPr>
          <w:b/>
          <w:bCs/>
          <w:sz w:val="28"/>
        </w:rPr>
      </w:pPr>
      <w:r w:rsidRPr="00156512">
        <w:rPr>
          <w:b/>
          <w:sz w:val="28"/>
        </w:rPr>
        <w:t>DRAFT OPINION</w:t>
      </w:r>
    </w:p>
    <w:p w:rsidR="001B33A4" w:rsidRPr="00156512" w:rsidRDefault="001B33A4" w:rsidP="00336D5E">
      <w:pPr>
        <w:spacing w:line="281" w:lineRule="auto"/>
      </w:pPr>
    </w:p>
    <w:p w:rsidR="001B33A4" w:rsidRPr="00156512" w:rsidRDefault="00444A98" w:rsidP="00336D5E">
      <w:pPr>
        <w:spacing w:line="281" w:lineRule="auto"/>
        <w:jc w:val="center"/>
        <w:rPr>
          <w:b/>
          <w:bCs/>
          <w:sz w:val="28"/>
        </w:rPr>
      </w:pPr>
      <w:r w:rsidRPr="00156512">
        <w:rPr>
          <w:b/>
          <w:sz w:val="28"/>
        </w:rPr>
        <w:t>Commission for Social Policy, Education, Employment, Research and Culture</w:t>
      </w:r>
    </w:p>
    <w:p w:rsidR="001B33A4" w:rsidRPr="00156512" w:rsidRDefault="001B33A4" w:rsidP="00336D5E">
      <w:pPr>
        <w:spacing w:line="281" w:lineRule="auto"/>
      </w:pPr>
    </w:p>
    <w:p w:rsidR="00444A98" w:rsidRPr="00156512" w:rsidRDefault="003177A9" w:rsidP="00336D5E">
      <w:pPr>
        <w:spacing w:line="281" w:lineRule="auto"/>
        <w:jc w:val="center"/>
        <w:rPr>
          <w:sz w:val="28"/>
          <w:szCs w:val="28"/>
        </w:rPr>
      </w:pPr>
      <w:r w:rsidRPr="00156512">
        <w:rPr>
          <w:b/>
          <w:sz w:val="28"/>
        </w:rPr>
        <w:t>Modernising school and higher education</w:t>
      </w:r>
    </w:p>
    <w:p w:rsidR="00444A98" w:rsidRPr="00156512" w:rsidRDefault="00444A98" w:rsidP="002D1629">
      <w:pPr>
        <w:spacing w:line="281" w:lineRule="auto"/>
      </w:pPr>
    </w:p>
    <w:p w:rsidR="00444A98" w:rsidRPr="00156512" w:rsidRDefault="00444A98" w:rsidP="00336D5E">
      <w:pPr>
        <w:spacing w:line="281" w:lineRule="auto"/>
      </w:pPr>
    </w:p>
    <w:tbl>
      <w:tblPr>
        <w:tblW w:w="5000" w:type="pct"/>
        <w:tblLook w:val="0000" w:firstRow="0" w:lastRow="0" w:firstColumn="0" w:lastColumn="0" w:noHBand="0" w:noVBand="0"/>
      </w:tblPr>
      <w:tblGrid>
        <w:gridCol w:w="9289"/>
      </w:tblGrid>
      <w:tr w:rsidR="00444A98" w:rsidRPr="00156512" w:rsidTr="006D78CA">
        <w:tc>
          <w:tcPr>
            <w:tcW w:w="5000" w:type="pct"/>
          </w:tcPr>
          <w:p w:rsidR="00444A98" w:rsidRPr="00156512" w:rsidRDefault="00444A98" w:rsidP="00336D5E">
            <w:pPr>
              <w:spacing w:line="281" w:lineRule="auto"/>
              <w:jc w:val="center"/>
            </w:pPr>
            <w:r w:rsidRPr="00156512">
              <w:t>_____________</w:t>
            </w:r>
          </w:p>
          <w:p w:rsidR="00444A98" w:rsidRPr="00156512" w:rsidRDefault="00444A98" w:rsidP="00336D5E">
            <w:pPr>
              <w:spacing w:line="281" w:lineRule="auto"/>
              <w:jc w:val="center"/>
            </w:pPr>
          </w:p>
          <w:p w:rsidR="003177A9" w:rsidRPr="00156512" w:rsidRDefault="00444A98" w:rsidP="00336D5E">
            <w:pPr>
              <w:suppressAutoHyphens/>
              <w:spacing w:line="281" w:lineRule="auto"/>
              <w:jc w:val="center"/>
            </w:pPr>
            <w:r w:rsidRPr="00156512">
              <w:t xml:space="preserve">Rapporteur: </w:t>
            </w:r>
            <w:r w:rsidRPr="00156512">
              <w:rPr>
                <w:b/>
              </w:rPr>
              <w:t>Csaba BORBOLY (RO/EPP)</w:t>
            </w:r>
          </w:p>
          <w:p w:rsidR="00444A98" w:rsidRPr="00156512" w:rsidRDefault="003177A9" w:rsidP="00336D5E">
            <w:pPr>
              <w:spacing w:line="281" w:lineRule="auto"/>
              <w:jc w:val="center"/>
              <w:rPr>
                <w:b/>
                <w:bCs/>
              </w:rPr>
            </w:pPr>
            <w:r w:rsidRPr="00156512">
              <w:t>President of Harghita County Council</w:t>
            </w:r>
          </w:p>
          <w:p w:rsidR="00444A98" w:rsidRPr="00156512" w:rsidRDefault="00444A98" w:rsidP="00336D5E">
            <w:pPr>
              <w:spacing w:line="281" w:lineRule="auto"/>
              <w:jc w:val="center"/>
            </w:pPr>
            <w:r w:rsidRPr="00156512">
              <w:t>_____________</w:t>
            </w:r>
          </w:p>
        </w:tc>
      </w:tr>
    </w:tbl>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p w:rsidR="00444A98" w:rsidRPr="00156512" w:rsidRDefault="00444A98" w:rsidP="002D1629">
      <w:pPr>
        <w:spacing w:line="281" w:lineRule="auto"/>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444A98" w:rsidRPr="00156512" w:rsidTr="006D78CA">
        <w:tc>
          <w:tcPr>
            <w:tcW w:w="9289" w:type="dxa"/>
            <w:tcBorders>
              <w:top w:val="single" w:sz="4" w:space="0" w:color="auto"/>
              <w:bottom w:val="single" w:sz="4" w:space="0" w:color="auto"/>
            </w:tcBorders>
          </w:tcPr>
          <w:p w:rsidR="00444A98" w:rsidRPr="00156512" w:rsidRDefault="00444A98" w:rsidP="005C3632">
            <w:pPr>
              <w:spacing w:line="281" w:lineRule="auto"/>
              <w:rPr>
                <w:bCs/>
                <w:iCs/>
              </w:rPr>
            </w:pPr>
            <w:r w:rsidRPr="00156512">
              <w:t xml:space="preserve">This document will be discussed at the meeting of </w:t>
            </w:r>
            <w:r w:rsidRPr="00156512">
              <w:rPr>
                <w:b/>
              </w:rPr>
              <w:t xml:space="preserve">the Commission for Social Policy, Education, Employment, Research and Culture </w:t>
            </w:r>
            <w:r w:rsidRPr="00156512">
              <w:t xml:space="preserve">to be held </w:t>
            </w:r>
            <w:r w:rsidRPr="00156512">
              <w:rPr>
                <w:b/>
              </w:rPr>
              <w:t>from 10.30 a.m. to 2 p.m. on 28 September 2017</w:t>
            </w:r>
            <w:r w:rsidRPr="00156512">
              <w:t xml:space="preserve">. To allow time for translation, any amendments must be submitted using the online tool for tabling amendments (available through the Members' Portal: </w:t>
            </w:r>
            <w:hyperlink r:id="rId14">
              <w:r w:rsidRPr="00156512">
                <w:rPr>
                  <w:rStyle w:val="Hyperlink"/>
                  <w:rFonts w:eastAsiaTheme="majorEastAsia"/>
                </w:rPr>
                <w:t>https://memportal.cor.europa.eu/</w:t>
              </w:r>
            </w:hyperlink>
            <w:r w:rsidRPr="00156512">
              <w:t xml:space="preserve">) </w:t>
            </w:r>
            <w:r w:rsidRPr="00156512">
              <w:rPr>
                <w:b/>
              </w:rPr>
              <w:t>by no later than 3 p.m. (Brussels time) on 12 September 2017</w:t>
            </w:r>
            <w:r w:rsidRPr="00156512">
              <w:t>.</w:t>
            </w:r>
            <w:r w:rsidRPr="00156512">
              <w:rPr>
                <w:b/>
              </w:rPr>
              <w:t xml:space="preserve"> </w:t>
            </w:r>
            <w:r w:rsidRPr="00156512">
              <w:t xml:space="preserve">A user guide is available on </w:t>
            </w:r>
            <w:hyperlink r:id="rId15">
              <w:r w:rsidRPr="00156512">
                <w:rPr>
                  <w:rStyle w:val="Hyperlink"/>
                  <w:rFonts w:eastAsiaTheme="majorEastAsia"/>
                </w:rPr>
                <w:t>https://memportal.cor.europa.eu/</w:t>
              </w:r>
            </w:hyperlink>
            <w:r w:rsidRPr="00156512">
              <w:t>.</w:t>
            </w:r>
          </w:p>
        </w:tc>
      </w:tr>
    </w:tbl>
    <w:p w:rsidR="000D6A84" w:rsidRPr="00156512" w:rsidRDefault="000D6A84" w:rsidP="00336D5E">
      <w:pPr>
        <w:spacing w:line="281" w:lineRule="auto"/>
      </w:pPr>
    </w:p>
    <w:p w:rsidR="000D6A84" w:rsidRPr="00156512" w:rsidRDefault="000D6A84" w:rsidP="00336D5E">
      <w:pPr>
        <w:tabs>
          <w:tab w:val="left" w:pos="440"/>
        </w:tabs>
        <w:spacing w:line="281" w:lineRule="auto"/>
        <w:ind w:left="440" w:hanging="440"/>
        <w:sectPr w:rsidR="000D6A84" w:rsidRPr="00156512" w:rsidSect="0072460B">
          <w:footerReference w:type="default" r:id="rId16"/>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444A98" w:rsidRPr="00156512" w:rsidTr="006D78CA">
        <w:trPr>
          <w:trHeight w:val="12474"/>
        </w:trPr>
        <w:tc>
          <w:tcPr>
            <w:tcW w:w="9289" w:type="dxa"/>
            <w:vAlign w:val="bottom"/>
          </w:tcPr>
          <w:p w:rsidR="006A5576" w:rsidRPr="00156512" w:rsidRDefault="006A5576" w:rsidP="00336D5E">
            <w:pPr>
              <w:spacing w:line="281" w:lineRule="auto"/>
              <w:rPr>
                <w:u w:val="single"/>
              </w:rPr>
            </w:pPr>
            <w:bookmarkStart w:id="0" w:name="_GoBack"/>
            <w:bookmarkEnd w:id="0"/>
            <w:r w:rsidRPr="00156512">
              <w:rPr>
                <w:u w:val="single"/>
              </w:rPr>
              <w:lastRenderedPageBreak/>
              <w:t>Reference documents</w:t>
            </w:r>
          </w:p>
          <w:p w:rsidR="006A5576" w:rsidRPr="00156512" w:rsidRDefault="006A5576" w:rsidP="00336D5E">
            <w:pPr>
              <w:spacing w:line="281" w:lineRule="auto"/>
            </w:pPr>
          </w:p>
          <w:p w:rsidR="006A5576" w:rsidRPr="00156512" w:rsidRDefault="006A5576" w:rsidP="00336D5E">
            <w:pPr>
              <w:spacing w:line="281" w:lineRule="auto"/>
            </w:pPr>
            <w:r w:rsidRPr="00156512">
              <w:t>Communication from the Commission to the European Parliament, the Council, the European Economic and Social Committee and the Committee of the Regions on a renewed EU agenda for higher education</w:t>
            </w:r>
          </w:p>
          <w:p w:rsidR="006A5576" w:rsidRPr="00156512" w:rsidRDefault="006A5576" w:rsidP="00336D5E">
            <w:pPr>
              <w:spacing w:line="281" w:lineRule="auto"/>
            </w:pPr>
            <w:r w:rsidRPr="00156512">
              <w:t>COM(2017) 247 final</w:t>
            </w:r>
          </w:p>
          <w:p w:rsidR="006A5576" w:rsidRPr="00156512" w:rsidRDefault="006A5576" w:rsidP="00336D5E">
            <w:pPr>
              <w:spacing w:line="281" w:lineRule="auto"/>
            </w:pPr>
          </w:p>
          <w:p w:rsidR="006A5576" w:rsidRPr="00156512" w:rsidRDefault="006A5576" w:rsidP="00336D5E">
            <w:pPr>
              <w:spacing w:line="281" w:lineRule="auto"/>
            </w:pPr>
            <w:r w:rsidRPr="00156512">
              <w:t>Communication from the Commission to the European Parliament, the Council, the European Economic and Social Committee and the Committee of the Regions - school development and excellent teaching for a great start in life</w:t>
            </w:r>
          </w:p>
          <w:p w:rsidR="006A5576" w:rsidRPr="00156512" w:rsidRDefault="006A5576" w:rsidP="00336D5E">
            <w:pPr>
              <w:spacing w:line="281" w:lineRule="auto"/>
            </w:pPr>
            <w:r w:rsidRPr="00156512">
              <w:t>COM(2017) 248 final</w:t>
            </w:r>
          </w:p>
          <w:p w:rsidR="006A5576" w:rsidRPr="00156512" w:rsidRDefault="006A5576" w:rsidP="00336D5E">
            <w:pPr>
              <w:spacing w:line="281" w:lineRule="auto"/>
            </w:pPr>
          </w:p>
          <w:p w:rsidR="006A5576" w:rsidRPr="00156512" w:rsidRDefault="006A5576" w:rsidP="00336D5E">
            <w:pPr>
              <w:spacing w:line="281" w:lineRule="auto"/>
            </w:pPr>
            <w:r w:rsidRPr="00156512">
              <w:t>Proposal for a Council Recommendation on tracking graduates</w:t>
            </w:r>
          </w:p>
          <w:p w:rsidR="006A5576" w:rsidRPr="00156512" w:rsidRDefault="006A5576" w:rsidP="00336D5E">
            <w:pPr>
              <w:spacing w:line="281" w:lineRule="auto"/>
            </w:pPr>
            <w:r w:rsidRPr="00156512">
              <w:t>COM(2017) 249 final</w:t>
            </w:r>
          </w:p>
          <w:p w:rsidR="00444A98" w:rsidRPr="00156512" w:rsidRDefault="00444A98" w:rsidP="00336D5E">
            <w:pPr>
              <w:spacing w:line="281" w:lineRule="auto"/>
            </w:pPr>
          </w:p>
        </w:tc>
      </w:tr>
    </w:tbl>
    <w:p w:rsidR="00444A98" w:rsidRPr="00156512" w:rsidRDefault="00444A98" w:rsidP="00336D5E">
      <w:pPr>
        <w:spacing w:line="281" w:lineRule="auto"/>
      </w:pPr>
    </w:p>
    <w:p w:rsidR="00444A98" w:rsidRPr="00156512" w:rsidRDefault="00444A98" w:rsidP="00336D5E">
      <w:pPr>
        <w:spacing w:line="281" w:lineRule="auto"/>
        <w:jc w:val="center"/>
      </w:pPr>
      <w:r w:rsidRPr="00156512">
        <w:br w:type="page"/>
      </w:r>
      <w:r w:rsidRPr="00156512">
        <w:rPr>
          <w:b/>
        </w:rPr>
        <w:lastRenderedPageBreak/>
        <w:t>Draft opinion of the Commission for Social Policy, Education, Employment, Research and Culture - Modernising school and higher education</w:t>
      </w:r>
    </w:p>
    <w:p w:rsidR="007D134B" w:rsidRPr="00156512" w:rsidRDefault="007D134B" w:rsidP="00336D5E">
      <w:pPr>
        <w:spacing w:line="281" w:lineRule="auto"/>
      </w:pPr>
    </w:p>
    <w:p w:rsidR="007D134B" w:rsidRPr="00156512" w:rsidRDefault="007D134B" w:rsidP="00336D5E">
      <w:pPr>
        <w:pStyle w:val="ListParagraph"/>
        <w:numPr>
          <w:ilvl w:val="0"/>
          <w:numId w:val="14"/>
        </w:numPr>
        <w:spacing w:line="281" w:lineRule="auto"/>
        <w:ind w:left="567" w:hanging="567"/>
      </w:pPr>
      <w:r w:rsidRPr="00156512">
        <w:rPr>
          <w:b/>
        </w:rPr>
        <w:t>RECOMMENDATIONS FOR AMENDMENTS</w:t>
      </w:r>
    </w:p>
    <w:p w:rsidR="007D134B" w:rsidRPr="00156512" w:rsidRDefault="007D134B" w:rsidP="00336D5E">
      <w:pPr>
        <w:spacing w:line="281" w:lineRule="auto"/>
      </w:pPr>
    </w:p>
    <w:p w:rsidR="007D134B" w:rsidRPr="00156512" w:rsidRDefault="007D134B" w:rsidP="00336D5E">
      <w:pPr>
        <w:spacing w:line="281" w:lineRule="auto"/>
        <w:jc w:val="center"/>
        <w:rPr>
          <w:b/>
          <w:bCs/>
        </w:rPr>
      </w:pPr>
      <w:r w:rsidRPr="00156512">
        <w:rPr>
          <w:b/>
        </w:rPr>
        <w:t>Amendment 1</w:t>
      </w:r>
    </w:p>
    <w:p w:rsidR="00DF15C6" w:rsidRPr="00156512" w:rsidRDefault="00DF15C6" w:rsidP="00336D5E">
      <w:pPr>
        <w:spacing w:line="281" w:lineRule="auto"/>
        <w:jc w:val="center"/>
        <w:rPr>
          <w:b/>
          <w:bCs/>
        </w:rPr>
      </w:pPr>
      <w:r w:rsidRPr="00156512">
        <w:t>Proposal for a Council Recommendation on tracking graduates</w:t>
      </w:r>
    </w:p>
    <w:p w:rsidR="00BC3580" w:rsidRPr="00156512" w:rsidRDefault="00091F83" w:rsidP="00336D5E">
      <w:pPr>
        <w:spacing w:line="281" w:lineRule="auto"/>
        <w:jc w:val="center"/>
      </w:pPr>
      <w:r w:rsidRPr="00156512">
        <w:t>Recital (1)</w:t>
      </w:r>
    </w:p>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156512" w:rsidTr="00082865">
        <w:tc>
          <w:tcPr>
            <w:tcW w:w="4643" w:type="dxa"/>
          </w:tcPr>
          <w:p w:rsidR="007D134B" w:rsidRPr="00156512" w:rsidRDefault="007D134B" w:rsidP="00336D5E">
            <w:pPr>
              <w:spacing w:line="281" w:lineRule="auto"/>
              <w:jc w:val="center"/>
            </w:pPr>
            <w:r w:rsidRPr="00156512">
              <w:rPr>
                <w:b/>
                <w:i/>
              </w:rPr>
              <w:t>Text proposed by the Commission</w:t>
            </w:r>
          </w:p>
        </w:tc>
        <w:tc>
          <w:tcPr>
            <w:tcW w:w="4646" w:type="dxa"/>
          </w:tcPr>
          <w:p w:rsidR="007D134B" w:rsidRPr="00156512" w:rsidRDefault="007D134B" w:rsidP="00336D5E">
            <w:pPr>
              <w:spacing w:line="281" w:lineRule="auto"/>
              <w:jc w:val="center"/>
            </w:pPr>
            <w:r w:rsidRPr="00156512">
              <w:rPr>
                <w:b/>
                <w:i/>
              </w:rPr>
              <w:t>CoR amendment</w:t>
            </w:r>
          </w:p>
        </w:tc>
      </w:tr>
      <w:tr w:rsidR="007D134B" w:rsidRPr="00156512" w:rsidTr="00082865">
        <w:tc>
          <w:tcPr>
            <w:tcW w:w="4643" w:type="dxa"/>
          </w:tcPr>
          <w:p w:rsidR="007D134B" w:rsidRPr="00156512" w:rsidRDefault="007D134B" w:rsidP="005C3632">
            <w:pPr>
              <w:spacing w:line="281" w:lineRule="auto"/>
            </w:pPr>
            <w:r w:rsidRPr="00156512">
              <w:t>The employability of graduates leaving education and training is a matter of concern in many Member States, in particular because the employment rate of recent higher education graduates in the Union has not fully recovered after the 2008 financial crisis and the employment situation of graduates of vocational education and training programmes varies across Member States.</w:t>
            </w:r>
          </w:p>
        </w:tc>
        <w:tc>
          <w:tcPr>
            <w:tcW w:w="4646" w:type="dxa"/>
          </w:tcPr>
          <w:p w:rsidR="007D134B" w:rsidRPr="00156512" w:rsidRDefault="007D134B" w:rsidP="005C3632">
            <w:pPr>
              <w:spacing w:line="281" w:lineRule="auto"/>
            </w:pPr>
            <w:r w:rsidRPr="00156512">
              <w:t xml:space="preserve">The employability of graduates leaving education and training is a matter of concern in many Member States, in particular because the employment rate of recent higher education graduates in the Union has not fully recovered after the 2008 financial crisis and the employment situation of graduates of vocational education and training programmes varies across Member States </w:t>
            </w:r>
            <w:r w:rsidRPr="00156512">
              <w:rPr>
                <w:b/>
                <w:i/>
              </w:rPr>
              <w:t>and regions</w:t>
            </w:r>
            <w:r w:rsidRPr="00156512">
              <w:t>.</w:t>
            </w:r>
          </w:p>
        </w:tc>
      </w:tr>
    </w:tbl>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156512" w:rsidTr="00082865">
        <w:tc>
          <w:tcPr>
            <w:tcW w:w="9289" w:type="dxa"/>
          </w:tcPr>
          <w:p w:rsidR="007D134B" w:rsidRPr="00156512" w:rsidRDefault="007D134B" w:rsidP="00336D5E">
            <w:pPr>
              <w:spacing w:line="281" w:lineRule="auto"/>
              <w:jc w:val="center"/>
              <w:rPr>
                <w:b/>
                <w:i/>
              </w:rPr>
            </w:pPr>
            <w:r w:rsidRPr="00156512">
              <w:rPr>
                <w:b/>
                <w:i/>
              </w:rPr>
              <w:t>Reason</w:t>
            </w:r>
          </w:p>
        </w:tc>
      </w:tr>
      <w:tr w:rsidR="007D134B" w:rsidRPr="00156512" w:rsidTr="00082865">
        <w:tc>
          <w:tcPr>
            <w:tcW w:w="9289" w:type="dxa"/>
          </w:tcPr>
          <w:p w:rsidR="007D134B" w:rsidRPr="00156512" w:rsidRDefault="007D134B">
            <w:pPr>
              <w:spacing w:line="281" w:lineRule="auto"/>
            </w:pPr>
            <w:r w:rsidRPr="00156512">
              <w:t>In addition to the discrepancies between Member States, it is important also to take account of regional disparities.</w:t>
            </w:r>
          </w:p>
        </w:tc>
      </w:tr>
    </w:tbl>
    <w:p w:rsidR="007D134B" w:rsidRPr="00156512" w:rsidRDefault="007D134B" w:rsidP="00336D5E">
      <w:pPr>
        <w:spacing w:line="281" w:lineRule="auto"/>
      </w:pPr>
    </w:p>
    <w:p w:rsidR="007D134B" w:rsidRPr="00156512" w:rsidRDefault="007D134B" w:rsidP="00336D5E">
      <w:pPr>
        <w:spacing w:line="281" w:lineRule="auto"/>
        <w:jc w:val="center"/>
        <w:rPr>
          <w:b/>
          <w:bCs/>
        </w:rPr>
      </w:pPr>
      <w:r w:rsidRPr="00156512">
        <w:rPr>
          <w:b/>
        </w:rPr>
        <w:t>Amendment 2</w:t>
      </w:r>
    </w:p>
    <w:p w:rsidR="00DF15C6" w:rsidRPr="00156512" w:rsidRDefault="00DF15C6" w:rsidP="00336D5E">
      <w:pPr>
        <w:spacing w:line="281" w:lineRule="auto"/>
        <w:jc w:val="center"/>
        <w:rPr>
          <w:b/>
          <w:bCs/>
        </w:rPr>
      </w:pPr>
      <w:r w:rsidRPr="00156512">
        <w:t>Proposal for a Council Recommendation on tracking graduates</w:t>
      </w:r>
    </w:p>
    <w:p w:rsidR="007D134B" w:rsidRPr="00156512" w:rsidRDefault="00091F83" w:rsidP="00336D5E">
      <w:pPr>
        <w:spacing w:line="281" w:lineRule="auto"/>
        <w:jc w:val="center"/>
      </w:pPr>
      <w:r w:rsidRPr="00156512">
        <w:t>Recital (10)</w:t>
      </w:r>
    </w:p>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156512" w:rsidTr="00082865">
        <w:tc>
          <w:tcPr>
            <w:tcW w:w="4643" w:type="dxa"/>
          </w:tcPr>
          <w:p w:rsidR="007D134B" w:rsidRPr="00156512" w:rsidRDefault="007D134B" w:rsidP="00336D5E">
            <w:pPr>
              <w:spacing w:line="281" w:lineRule="auto"/>
              <w:jc w:val="center"/>
            </w:pPr>
            <w:r w:rsidRPr="00156512">
              <w:rPr>
                <w:b/>
                <w:i/>
              </w:rPr>
              <w:t>Text proposed by the Commission</w:t>
            </w:r>
          </w:p>
        </w:tc>
        <w:tc>
          <w:tcPr>
            <w:tcW w:w="4646" w:type="dxa"/>
          </w:tcPr>
          <w:p w:rsidR="007D134B" w:rsidRPr="00156512" w:rsidRDefault="007D134B" w:rsidP="00336D5E">
            <w:pPr>
              <w:spacing w:line="281" w:lineRule="auto"/>
              <w:jc w:val="center"/>
            </w:pPr>
            <w:r w:rsidRPr="00156512">
              <w:rPr>
                <w:b/>
                <w:i/>
              </w:rPr>
              <w:t>CoR amendment</w:t>
            </w:r>
          </w:p>
        </w:tc>
      </w:tr>
      <w:tr w:rsidR="007D134B" w:rsidRPr="00156512" w:rsidTr="00082865">
        <w:tc>
          <w:tcPr>
            <w:tcW w:w="4643" w:type="dxa"/>
          </w:tcPr>
          <w:p w:rsidR="007D134B" w:rsidRPr="00156512" w:rsidRDefault="007D134B" w:rsidP="005C3632">
            <w:pPr>
              <w:spacing w:line="281" w:lineRule="auto"/>
            </w:pPr>
            <w:r w:rsidRPr="00156512">
              <w:t>Member States also committed themselves to ensuring continuous information and feedback loops in the Riga Conclusions of 2015 on a new set of medium-term deliverables in the field of VET for the period 2015 – 2020, through actions such as the use of data on VET graduate employability and a combination of data on learning, labour market entry and career, developing capacities of actors at national level to use graduate data for adapting curricula, occupational profiles and the content of VET qualifications to new economic and technical requirements.</w:t>
            </w:r>
          </w:p>
        </w:tc>
        <w:tc>
          <w:tcPr>
            <w:tcW w:w="4646" w:type="dxa"/>
          </w:tcPr>
          <w:p w:rsidR="007D134B" w:rsidRPr="00156512" w:rsidRDefault="007D134B" w:rsidP="005C3632">
            <w:pPr>
              <w:spacing w:line="281" w:lineRule="auto"/>
            </w:pPr>
            <w:r w:rsidRPr="00156512">
              <w:t>Member States also committed themselves to ensuring continuous information and feedback loops in the Riga Conclusions of 2015 on a new set of medium-term deliverables in the field of VET for the period 2015 – 2020, through actions such as the use of data on VET graduate employability and a combination of data on learning, labour market entry and career, developing capacities of actors at national</w:t>
            </w:r>
            <w:r w:rsidRPr="00156512">
              <w:rPr>
                <w:b/>
                <w:i/>
              </w:rPr>
              <w:t>, regional and local</w:t>
            </w:r>
            <w:r w:rsidRPr="00156512">
              <w:t xml:space="preserve"> level to use graduate data for adapting curricula, occupational profiles and the content of VET qualifications to new economic and technical requirements.</w:t>
            </w:r>
          </w:p>
        </w:tc>
      </w:tr>
    </w:tbl>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156512" w:rsidTr="00082865">
        <w:tc>
          <w:tcPr>
            <w:tcW w:w="9289" w:type="dxa"/>
          </w:tcPr>
          <w:p w:rsidR="007D134B" w:rsidRPr="00156512" w:rsidRDefault="007D134B" w:rsidP="00336D5E">
            <w:pPr>
              <w:spacing w:line="281" w:lineRule="auto"/>
              <w:jc w:val="center"/>
              <w:rPr>
                <w:b/>
                <w:i/>
              </w:rPr>
            </w:pPr>
            <w:r w:rsidRPr="00156512">
              <w:rPr>
                <w:b/>
                <w:i/>
              </w:rPr>
              <w:t>Reason</w:t>
            </w:r>
          </w:p>
        </w:tc>
      </w:tr>
      <w:tr w:rsidR="007D134B" w:rsidRPr="00156512" w:rsidTr="00082865">
        <w:tc>
          <w:tcPr>
            <w:tcW w:w="9289" w:type="dxa"/>
          </w:tcPr>
          <w:p w:rsidR="007D134B" w:rsidRPr="00156512" w:rsidRDefault="007D134B" w:rsidP="00336D5E">
            <w:pPr>
              <w:spacing w:line="281" w:lineRule="auto"/>
            </w:pPr>
            <w:r w:rsidRPr="00156512">
              <w:t>Regional and local actors currently also play an important role in education and the employment market.</w:t>
            </w:r>
          </w:p>
        </w:tc>
      </w:tr>
    </w:tbl>
    <w:p w:rsidR="007D134B" w:rsidRPr="00156512" w:rsidRDefault="007D134B" w:rsidP="00336D5E">
      <w:pPr>
        <w:spacing w:line="281" w:lineRule="auto"/>
      </w:pPr>
    </w:p>
    <w:p w:rsidR="007D134B" w:rsidRPr="00156512" w:rsidRDefault="007D134B" w:rsidP="00336D5E">
      <w:pPr>
        <w:spacing w:line="281" w:lineRule="auto"/>
        <w:jc w:val="center"/>
        <w:rPr>
          <w:b/>
          <w:bCs/>
        </w:rPr>
      </w:pPr>
      <w:r w:rsidRPr="00156512">
        <w:rPr>
          <w:b/>
        </w:rPr>
        <w:t>Amendment 3</w:t>
      </w:r>
    </w:p>
    <w:p w:rsidR="00DF15C6" w:rsidRPr="00156512" w:rsidRDefault="00DF15C6" w:rsidP="00336D5E">
      <w:pPr>
        <w:spacing w:line="281" w:lineRule="auto"/>
        <w:jc w:val="center"/>
        <w:rPr>
          <w:b/>
          <w:bCs/>
        </w:rPr>
      </w:pPr>
      <w:r w:rsidRPr="00156512">
        <w:t>Proposal for a Council Recommendation on tracking graduates</w:t>
      </w:r>
    </w:p>
    <w:p w:rsidR="007D134B" w:rsidRPr="00156512" w:rsidRDefault="007D134B" w:rsidP="00336D5E">
      <w:pPr>
        <w:spacing w:line="281" w:lineRule="auto"/>
        <w:jc w:val="center"/>
      </w:pPr>
      <w:r w:rsidRPr="00156512">
        <w:t>Paragraph 1</w:t>
      </w:r>
    </w:p>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156512" w:rsidTr="00082865">
        <w:tc>
          <w:tcPr>
            <w:tcW w:w="4643" w:type="dxa"/>
          </w:tcPr>
          <w:p w:rsidR="007D134B" w:rsidRPr="00156512" w:rsidRDefault="007D134B" w:rsidP="00336D5E">
            <w:pPr>
              <w:spacing w:line="281" w:lineRule="auto"/>
              <w:jc w:val="center"/>
            </w:pPr>
            <w:r w:rsidRPr="00156512">
              <w:rPr>
                <w:b/>
                <w:i/>
              </w:rPr>
              <w:t>Text proposed by the Commission</w:t>
            </w:r>
          </w:p>
        </w:tc>
        <w:tc>
          <w:tcPr>
            <w:tcW w:w="4646" w:type="dxa"/>
          </w:tcPr>
          <w:p w:rsidR="007D134B" w:rsidRPr="00156512" w:rsidRDefault="007D134B" w:rsidP="00336D5E">
            <w:pPr>
              <w:spacing w:line="281" w:lineRule="auto"/>
              <w:jc w:val="center"/>
            </w:pPr>
            <w:r w:rsidRPr="00156512">
              <w:rPr>
                <w:b/>
                <w:i/>
              </w:rPr>
              <w:t>CoR amendment</w:t>
            </w:r>
          </w:p>
        </w:tc>
      </w:tr>
      <w:tr w:rsidR="007D134B" w:rsidRPr="00156512" w:rsidTr="00082865">
        <w:tc>
          <w:tcPr>
            <w:tcW w:w="4643" w:type="dxa"/>
          </w:tcPr>
          <w:p w:rsidR="007D134B" w:rsidRPr="00156512" w:rsidRDefault="007D134B" w:rsidP="005C3632">
            <w:pPr>
              <w:spacing w:line="281" w:lineRule="auto"/>
            </w:pPr>
            <w:r w:rsidRPr="00156512">
              <w:t>(a) the collection of relevant administrative data from education, tax and social security databases;</w:t>
            </w:r>
          </w:p>
        </w:tc>
        <w:tc>
          <w:tcPr>
            <w:tcW w:w="4646" w:type="dxa"/>
          </w:tcPr>
          <w:p w:rsidR="007D134B" w:rsidRPr="00156512" w:rsidRDefault="007D134B" w:rsidP="005C3632">
            <w:pPr>
              <w:spacing w:line="281" w:lineRule="auto"/>
            </w:pPr>
            <w:r w:rsidRPr="00156512">
              <w:t>(a) the collection of relevant administrative data from education, tax and social security databases</w:t>
            </w:r>
            <w:r w:rsidRPr="00156512">
              <w:rPr>
                <w:b/>
                <w:i/>
              </w:rPr>
              <w:t>, while ensuring that this does not entail an additional financial burden on Member States and local and regional authorities that goes beyond what is strictly necessary</w:t>
            </w:r>
            <w:r w:rsidRPr="00156512">
              <w:t>;</w:t>
            </w:r>
            <w:r w:rsidRPr="00156512">
              <w:rPr>
                <w:caps/>
              </w:rPr>
              <w:t> </w:t>
            </w:r>
          </w:p>
        </w:tc>
      </w:tr>
    </w:tbl>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156512" w:rsidTr="00082865">
        <w:tc>
          <w:tcPr>
            <w:tcW w:w="9289" w:type="dxa"/>
          </w:tcPr>
          <w:p w:rsidR="007D134B" w:rsidRPr="00156512" w:rsidRDefault="007D134B" w:rsidP="00336D5E">
            <w:pPr>
              <w:spacing w:line="281" w:lineRule="auto"/>
              <w:jc w:val="center"/>
              <w:rPr>
                <w:b/>
                <w:i/>
              </w:rPr>
            </w:pPr>
            <w:r w:rsidRPr="00156512">
              <w:rPr>
                <w:b/>
                <w:i/>
              </w:rPr>
              <w:t>Reason</w:t>
            </w:r>
          </w:p>
        </w:tc>
      </w:tr>
      <w:tr w:rsidR="007D134B" w:rsidRPr="00156512" w:rsidTr="00082865">
        <w:tc>
          <w:tcPr>
            <w:tcW w:w="9289" w:type="dxa"/>
          </w:tcPr>
          <w:p w:rsidR="007D134B" w:rsidRPr="00156512" w:rsidRDefault="007D134B" w:rsidP="00336D5E">
            <w:pPr>
              <w:spacing w:line="281" w:lineRule="auto"/>
            </w:pPr>
            <w:r w:rsidRPr="00156512">
              <w:t>The new administrative tasks entailed by this measure must not mean an increase in budgetary needs going beyond what is necessary to achieve the intended results.</w:t>
            </w:r>
          </w:p>
        </w:tc>
      </w:tr>
    </w:tbl>
    <w:p w:rsidR="007D134B" w:rsidRPr="00156512" w:rsidRDefault="007D134B" w:rsidP="00336D5E">
      <w:pPr>
        <w:spacing w:line="281" w:lineRule="auto"/>
      </w:pPr>
    </w:p>
    <w:p w:rsidR="007D134B" w:rsidRPr="00156512" w:rsidRDefault="007D134B" w:rsidP="00336D5E">
      <w:pPr>
        <w:spacing w:line="281" w:lineRule="auto"/>
        <w:jc w:val="center"/>
        <w:rPr>
          <w:b/>
          <w:bCs/>
        </w:rPr>
      </w:pPr>
      <w:r w:rsidRPr="00156512">
        <w:rPr>
          <w:b/>
        </w:rPr>
        <w:t>Amendment 4</w:t>
      </w:r>
    </w:p>
    <w:p w:rsidR="00DF15C6" w:rsidRPr="00156512" w:rsidRDefault="00DF15C6" w:rsidP="00336D5E">
      <w:pPr>
        <w:spacing w:line="281" w:lineRule="auto"/>
        <w:jc w:val="center"/>
        <w:rPr>
          <w:b/>
          <w:bCs/>
        </w:rPr>
      </w:pPr>
      <w:r w:rsidRPr="00156512">
        <w:t>Proposal for a Council Recommendation on tracking graduates</w:t>
      </w:r>
    </w:p>
    <w:p w:rsidR="007D134B" w:rsidRPr="00156512" w:rsidRDefault="007D134B" w:rsidP="00336D5E">
      <w:pPr>
        <w:spacing w:line="281" w:lineRule="auto"/>
        <w:jc w:val="center"/>
      </w:pPr>
      <w:r w:rsidRPr="00156512">
        <w:t>Paragraph 5</w:t>
      </w:r>
    </w:p>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156512" w:rsidTr="00082865">
        <w:tc>
          <w:tcPr>
            <w:tcW w:w="4643" w:type="dxa"/>
          </w:tcPr>
          <w:p w:rsidR="007D134B" w:rsidRPr="00156512" w:rsidRDefault="007D134B" w:rsidP="00336D5E">
            <w:pPr>
              <w:spacing w:line="281" w:lineRule="auto"/>
              <w:jc w:val="center"/>
            </w:pPr>
            <w:r w:rsidRPr="00156512">
              <w:rPr>
                <w:b/>
                <w:i/>
              </w:rPr>
              <w:t>Text proposed by the Commission</w:t>
            </w:r>
          </w:p>
        </w:tc>
        <w:tc>
          <w:tcPr>
            <w:tcW w:w="4646" w:type="dxa"/>
          </w:tcPr>
          <w:p w:rsidR="007D134B" w:rsidRPr="00156512" w:rsidRDefault="007D134B" w:rsidP="00336D5E">
            <w:pPr>
              <w:spacing w:line="281" w:lineRule="auto"/>
              <w:jc w:val="center"/>
            </w:pPr>
            <w:r w:rsidRPr="00156512">
              <w:rPr>
                <w:b/>
                <w:i/>
              </w:rPr>
              <w:t>CoR amendment</w:t>
            </w:r>
          </w:p>
        </w:tc>
      </w:tr>
      <w:tr w:rsidR="007D134B" w:rsidRPr="00156512" w:rsidTr="00082865">
        <w:tc>
          <w:tcPr>
            <w:tcW w:w="4643" w:type="dxa"/>
          </w:tcPr>
          <w:p w:rsidR="007D134B" w:rsidRPr="00156512" w:rsidRDefault="007D134B" w:rsidP="005C3632">
            <w:pPr>
              <w:spacing w:line="281" w:lineRule="auto"/>
            </w:pPr>
            <w:r w:rsidRPr="00156512">
              <w:t xml:space="preserve">e) contributing to policy development at </w:t>
            </w:r>
            <w:r w:rsidRPr="00156512">
              <w:rPr>
                <w:b/>
                <w:i/>
              </w:rPr>
              <w:t>both</w:t>
            </w:r>
            <w:r w:rsidRPr="00156512">
              <w:t xml:space="preserve"> national </w:t>
            </w:r>
            <w:r w:rsidRPr="00156512">
              <w:rPr>
                <w:b/>
                <w:i/>
              </w:rPr>
              <w:t>and</w:t>
            </w:r>
            <w:r w:rsidRPr="00156512">
              <w:t xml:space="preserve"> Union level.</w:t>
            </w:r>
          </w:p>
        </w:tc>
        <w:tc>
          <w:tcPr>
            <w:tcW w:w="4646" w:type="dxa"/>
          </w:tcPr>
          <w:p w:rsidR="007D134B" w:rsidRPr="00156512" w:rsidRDefault="007D134B" w:rsidP="005C3632">
            <w:pPr>
              <w:spacing w:line="281" w:lineRule="auto"/>
            </w:pPr>
            <w:r w:rsidRPr="00156512">
              <w:t>e) contributing to policy development at national</w:t>
            </w:r>
            <w:r w:rsidRPr="00156512">
              <w:rPr>
                <w:b/>
                <w:i/>
              </w:rPr>
              <w:t>, regional and local</w:t>
            </w:r>
            <w:r w:rsidRPr="00156512">
              <w:t xml:space="preserve"> </w:t>
            </w:r>
            <w:r w:rsidRPr="00156512">
              <w:rPr>
                <w:b/>
                <w:i/>
              </w:rPr>
              <w:t xml:space="preserve">as well as </w:t>
            </w:r>
            <w:r w:rsidRPr="00156512">
              <w:t>Union level.</w:t>
            </w:r>
          </w:p>
        </w:tc>
      </w:tr>
    </w:tbl>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156512" w:rsidTr="00082865">
        <w:tc>
          <w:tcPr>
            <w:tcW w:w="9289" w:type="dxa"/>
          </w:tcPr>
          <w:p w:rsidR="007D134B" w:rsidRPr="00156512" w:rsidRDefault="007D134B" w:rsidP="00336D5E">
            <w:pPr>
              <w:spacing w:line="281" w:lineRule="auto"/>
              <w:jc w:val="center"/>
              <w:rPr>
                <w:b/>
                <w:i/>
              </w:rPr>
            </w:pPr>
            <w:r w:rsidRPr="00156512">
              <w:rPr>
                <w:b/>
                <w:i/>
              </w:rPr>
              <w:t>Reason</w:t>
            </w:r>
          </w:p>
        </w:tc>
      </w:tr>
      <w:tr w:rsidR="007D134B" w:rsidRPr="00156512" w:rsidTr="00082865">
        <w:tc>
          <w:tcPr>
            <w:tcW w:w="9289" w:type="dxa"/>
          </w:tcPr>
          <w:p w:rsidR="007D134B" w:rsidRPr="00156512" w:rsidRDefault="007D134B" w:rsidP="00336D5E">
            <w:pPr>
              <w:spacing w:line="281" w:lineRule="auto"/>
            </w:pPr>
            <w:r w:rsidRPr="00156512">
              <w:t>Local and regional authorities are important players in the field of education and in the context of intervention on the labour market.</w:t>
            </w:r>
          </w:p>
        </w:tc>
      </w:tr>
    </w:tbl>
    <w:p w:rsidR="007D134B" w:rsidRPr="00156512" w:rsidRDefault="007D134B" w:rsidP="00336D5E">
      <w:pPr>
        <w:spacing w:line="281" w:lineRule="auto"/>
      </w:pPr>
    </w:p>
    <w:p w:rsidR="007D134B" w:rsidRPr="00156512" w:rsidRDefault="007D134B" w:rsidP="00336D5E">
      <w:pPr>
        <w:spacing w:line="281" w:lineRule="auto"/>
        <w:jc w:val="center"/>
        <w:rPr>
          <w:b/>
          <w:bCs/>
        </w:rPr>
      </w:pPr>
      <w:r w:rsidRPr="00156512">
        <w:rPr>
          <w:b/>
        </w:rPr>
        <w:t>Amendment 5</w:t>
      </w:r>
    </w:p>
    <w:p w:rsidR="00DF15C6" w:rsidRPr="00156512" w:rsidRDefault="00DF15C6" w:rsidP="00336D5E">
      <w:pPr>
        <w:spacing w:line="281" w:lineRule="auto"/>
        <w:jc w:val="center"/>
        <w:rPr>
          <w:b/>
          <w:bCs/>
        </w:rPr>
      </w:pPr>
      <w:r w:rsidRPr="00156512">
        <w:t>Proposal for a Council Recommendation on tracking graduates</w:t>
      </w:r>
    </w:p>
    <w:p w:rsidR="007D134B" w:rsidRPr="00156512" w:rsidRDefault="007D134B" w:rsidP="00336D5E">
      <w:pPr>
        <w:spacing w:line="281" w:lineRule="auto"/>
        <w:jc w:val="center"/>
      </w:pPr>
      <w:r w:rsidRPr="00156512">
        <w:t>Paragraph 11</w:t>
      </w:r>
    </w:p>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156512" w:rsidTr="00082865">
        <w:tc>
          <w:tcPr>
            <w:tcW w:w="4643" w:type="dxa"/>
          </w:tcPr>
          <w:p w:rsidR="007D134B" w:rsidRPr="00156512" w:rsidRDefault="007D134B" w:rsidP="00336D5E">
            <w:pPr>
              <w:spacing w:line="281" w:lineRule="auto"/>
              <w:jc w:val="center"/>
            </w:pPr>
            <w:r w:rsidRPr="00156512">
              <w:rPr>
                <w:b/>
                <w:i/>
              </w:rPr>
              <w:t>Text proposed by the Commission</w:t>
            </w:r>
          </w:p>
        </w:tc>
        <w:tc>
          <w:tcPr>
            <w:tcW w:w="4646" w:type="dxa"/>
          </w:tcPr>
          <w:p w:rsidR="007D134B" w:rsidRPr="00156512" w:rsidRDefault="007D134B" w:rsidP="00336D5E">
            <w:pPr>
              <w:spacing w:line="281" w:lineRule="auto"/>
              <w:jc w:val="center"/>
            </w:pPr>
            <w:r w:rsidRPr="00156512">
              <w:rPr>
                <w:b/>
                <w:i/>
              </w:rPr>
              <w:t>CoR amendment</w:t>
            </w:r>
          </w:p>
        </w:tc>
      </w:tr>
      <w:tr w:rsidR="007D134B" w:rsidRPr="00156512" w:rsidTr="00082865">
        <w:tc>
          <w:tcPr>
            <w:tcW w:w="4643" w:type="dxa"/>
          </w:tcPr>
          <w:p w:rsidR="007D134B" w:rsidRPr="00156512" w:rsidRDefault="007D134B" w:rsidP="00336D5E">
            <w:pPr>
              <w:spacing w:line="281" w:lineRule="auto"/>
            </w:pPr>
            <w:r w:rsidRPr="00156512">
              <w:t>Ensures that data collected and related analyses are made available for use by Member States and stakeholders, including through existing online EU tools.</w:t>
            </w:r>
          </w:p>
        </w:tc>
        <w:tc>
          <w:tcPr>
            <w:tcW w:w="4646" w:type="dxa"/>
          </w:tcPr>
          <w:p w:rsidR="007D134B" w:rsidRPr="00156512" w:rsidRDefault="007D134B">
            <w:pPr>
              <w:spacing w:line="281" w:lineRule="auto"/>
            </w:pPr>
            <w:r w:rsidRPr="00156512">
              <w:t xml:space="preserve">Ensures that data collected and related analyses are made available for use by Member States and </w:t>
            </w:r>
            <w:r w:rsidRPr="00156512">
              <w:rPr>
                <w:b/>
                <w:i/>
              </w:rPr>
              <w:t>local and regional authorities, but also by</w:t>
            </w:r>
            <w:r w:rsidRPr="00156512">
              <w:t xml:space="preserve"> stakeholders</w:t>
            </w:r>
            <w:r w:rsidRPr="00156512">
              <w:rPr>
                <w:b/>
                <w:i/>
              </w:rPr>
              <w:t>, where the protection of personal data is guaranteed and where the provision of such access is justified by the general interest or research or strategic planning needs</w:t>
            </w:r>
            <w:r w:rsidRPr="00156512">
              <w:t>, including through existing online EU tools.</w:t>
            </w:r>
          </w:p>
        </w:tc>
      </w:tr>
    </w:tbl>
    <w:p w:rsidR="007D134B" w:rsidRPr="00156512" w:rsidRDefault="007D134B" w:rsidP="00336D5E">
      <w:pPr>
        <w:spacing w:line="281"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156512" w:rsidTr="00082865">
        <w:tc>
          <w:tcPr>
            <w:tcW w:w="9289" w:type="dxa"/>
          </w:tcPr>
          <w:p w:rsidR="007D134B" w:rsidRPr="00156512" w:rsidRDefault="007D134B" w:rsidP="00336D5E">
            <w:pPr>
              <w:spacing w:line="281" w:lineRule="auto"/>
              <w:jc w:val="center"/>
              <w:rPr>
                <w:b/>
                <w:i/>
              </w:rPr>
            </w:pPr>
            <w:r w:rsidRPr="00156512">
              <w:rPr>
                <w:b/>
                <w:i/>
              </w:rPr>
              <w:t>Reason</w:t>
            </w:r>
          </w:p>
        </w:tc>
      </w:tr>
      <w:tr w:rsidR="007D134B" w:rsidRPr="00156512" w:rsidTr="00082865">
        <w:tc>
          <w:tcPr>
            <w:tcW w:w="9289" w:type="dxa"/>
          </w:tcPr>
          <w:p w:rsidR="007D134B" w:rsidRPr="00156512" w:rsidRDefault="007D134B" w:rsidP="00336D5E">
            <w:pPr>
              <w:spacing w:line="281" w:lineRule="auto"/>
            </w:pPr>
            <w:r w:rsidRPr="00156512">
              <w:t>While it goes without saying that such access must be guaranteed for local and regional authorities, it should be limited for stakeholders, depending on the purpose for which the data is to be used.</w:t>
            </w:r>
          </w:p>
        </w:tc>
      </w:tr>
    </w:tbl>
    <w:p w:rsidR="007D134B" w:rsidRPr="00156512" w:rsidRDefault="007D134B" w:rsidP="00336D5E">
      <w:pPr>
        <w:spacing w:line="281" w:lineRule="auto"/>
      </w:pPr>
    </w:p>
    <w:p w:rsidR="007D134B" w:rsidRPr="00156512" w:rsidRDefault="007D134B" w:rsidP="00336D5E">
      <w:pPr>
        <w:pStyle w:val="ListParagraph"/>
        <w:keepNext/>
        <w:keepLines/>
        <w:numPr>
          <w:ilvl w:val="0"/>
          <w:numId w:val="14"/>
        </w:numPr>
        <w:spacing w:line="281" w:lineRule="auto"/>
        <w:ind w:left="567" w:hanging="567"/>
        <w:rPr>
          <w:b/>
        </w:rPr>
      </w:pPr>
      <w:r w:rsidRPr="00156512">
        <w:rPr>
          <w:b/>
        </w:rPr>
        <w:t>POLICY RECOMMENDATIONS</w:t>
      </w:r>
    </w:p>
    <w:p w:rsidR="007D134B" w:rsidRPr="00156512" w:rsidRDefault="007D134B" w:rsidP="00336D5E">
      <w:pPr>
        <w:keepNext/>
        <w:keepLines/>
        <w:spacing w:line="281" w:lineRule="auto"/>
      </w:pPr>
    </w:p>
    <w:p w:rsidR="007D134B" w:rsidRPr="00156512" w:rsidRDefault="007D134B" w:rsidP="00336D5E">
      <w:pPr>
        <w:keepNext/>
        <w:keepLines/>
        <w:spacing w:line="281" w:lineRule="auto"/>
      </w:pPr>
      <w:r w:rsidRPr="00156512">
        <w:t>THE EUROPEAN COMMITTEE OF THE REGIONS</w:t>
      </w:r>
    </w:p>
    <w:p w:rsidR="00336D5E" w:rsidRPr="00156512" w:rsidRDefault="00336D5E" w:rsidP="00336D5E">
      <w:pPr>
        <w:keepNext/>
        <w:keepLines/>
        <w:spacing w:line="281" w:lineRule="auto"/>
      </w:pPr>
    </w:p>
    <w:p w:rsidR="007D134B" w:rsidRPr="00156512" w:rsidRDefault="007D134B" w:rsidP="00336D5E">
      <w:pPr>
        <w:pStyle w:val="Heading1"/>
        <w:spacing w:line="281" w:lineRule="auto"/>
      </w:pPr>
      <w:r w:rsidRPr="00156512">
        <w:t>considers that it would be appropriate to study the different forms and levels of school and higher education and training as part of a global approach, which would enable the Commission to formulate its policy recommendations in a uniform way;</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welcomes the fact that the Commission is continuing to pay particular attention to questions related to developments in the field of education. Education is part of Europe's historical heritage and is one of the main vectors of competitiveness for the Member States and regions, as well as of equal opportunities and social mobility;</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offers its support to the European Commission in the framework of the process of reinforcing the compatibility, interoperability and development of the various European systems of school and higher education and training;</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welcomes the fact that, in its Communication, the European Commission indicates that giving all young people the opportunity to acquire the whole range of key competences would be a significant step towards equal opportunities for EU citizens, thus taking up a proposal put forward for the first time in the European Committee of the Regions’ opinion on European cooperation in the youth field (2010-2018);</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points out that the idea of the Citizens’ University can become a reality only if the Union and the Member States genuinely and appropriately consult the local and regional authorities when drawing up their higher education policies; calls on the European Commission to give a new impetus to the Bologna process and to take the necessary measures in certain areas, e.g. on rapid and even automatic recognition and equivalence of degrees and vocational qualifications, including doctorates and other academic titles;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draws attention to the fact that, with regard to the modernisation of school and higher education, it is not enough to discuss the objectives, particularly given that the planning of EU funds for the next programming period is already in progress and that, in this respect, emphasis should be placed on the need to provide for specific support after 2020 for projects and measures for the development of training programmes and school and higher educational infrastructure in the less developed regions;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stresses that access to higher education for students from less favoured or outlying regions or minority communities can be seriously impeded by the fact that the publicly funded education system to which they have access is generally less efficient and effective;</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considers that it would be worthwhile promoting the development of complementary training systems and other catch-up programmes to facilitate the transition from one level of education to the next, while appropriately promoting the exchange of best practice in this area;</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suggests that the proposal for more results-orientated financing of higher educational institutions be reconsidered, as this kind of development would restrict still further the opportunities of universities of regional and local importance, and particularly higher educational institutions attended by small numbers of students from minority communities, and would be detrimental to certain specialised forms of training which, by their nature and in the light of labour market needs in this sector, attract few students but whose disappearance would cause considerable cultural, community and economic damage;</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draws attention to the fact that new measures are needed for the internationalisation of higher education, particular as regards joint European and international degrees and the extension of Erasmus to candidate countries;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points out that at present the funds available for the internationalisation of education and vocational training systems preceding higher education are insufficient, and therefore considers that there is a need to systematically mobilise new European and national, as well as regional and local resources;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given that, in the current higher education and training system, there is often a mismatch between the preparedness, qualifications and skills of graduates, on the one hand, and the needs of the labour market and conditions of employability on the other, recommends that efforts be made to introduce into higher education needs-based training courses which, for example, make it possible for a student to choose freely between courses offered at different universities or, where necessary, for an employer to draw up tailor-made training courses for employees or future employees, drawing on the programmes of several universities, or for students completing these training courses to be awarded a recognised degree, based on the credits obtained;</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considers that there is a real need to develop short training courses in the interests of the flexibility of the higher education system, and with a view to the possible equivalence to higher education of in-house and further training courses provided by vocational organisations and chambers, where appropriate ensuring that successful completion of training of this kind can be recognised as at least partially equivalent to one or more courses completed at university level;</w:t>
      </w:r>
    </w:p>
    <w:p w:rsidR="00042DCB" w:rsidRPr="00156512" w:rsidRDefault="00042DCB" w:rsidP="007D5C47"/>
    <w:p w:rsidR="007D134B" w:rsidRPr="00156512" w:rsidRDefault="007D134B" w:rsidP="00336D5E">
      <w:pPr>
        <w:pStyle w:val="Heading1"/>
        <w:spacing w:line="281" w:lineRule="auto"/>
      </w:pPr>
      <w:r w:rsidRPr="00156512">
        <w:t xml:space="preserve">believes that, in addition to respecting the autonomy of universities, there is also a need to ensure the public availability of face-to-face and online university courses, in accordance with the idea of the </w:t>
      </w:r>
      <w:r w:rsidR="009C2904" w:rsidRPr="00156512">
        <w:t>"</w:t>
      </w:r>
      <w:r w:rsidRPr="00156512">
        <w:t>universitas</w:t>
      </w:r>
      <w:r w:rsidR="009C2904" w:rsidRPr="00156512">
        <w:t>"</w:t>
      </w:r>
      <w:r w:rsidRPr="00156512">
        <w:t xml:space="preserve"> as a community;</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notes with concern that, although significant research, funded under the Horizon 2020 framework programme or from national public funds, is being carried out in European universities, its results are very often not available free of charge, at least not for professionals, non-higher-education teachers or other potentially interested persons, which significantly reduces the impact of the European R&amp;D system, while limiting the access of teachers and persons undergoing training who do not have sufficient resources to access the latest research results;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agrees that the pedagogical, psychological and methodological preparation of school and higher-education teachers and trainers is a key condition for successful education in the future and therefore considers it particularly necessary in this rapidly developing area to share best practice and support joint innovation projects, including initiatives concerning training and study programmes for staff providing initial and continuing training for teachers and trainers;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expresses its concern that Brexit may be detrimental to the rights of graduates, schoolchildren and higher-education students being educated in the United Kingdom; stresses that the risk relates not only to probable changes in education policy in the United Kingdom but also to uncertainty as to the recognition and equivalence of their training, qualifications and degrees in the Member States, a risk which concerns all EU countries and could therefore justify joint action at Union level;</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calls on the European Commission to ensure, in the context of Brexit, that the collateral damage arising from the departure of the United Kingdom, such as any reduction in the excellent ongoing cooperation that currently exists with higher education institutions and R&amp;D centres in the UK, is limited as far as possible, even if that entails a proportional additional burden on the budget;</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draws attention to the fact that certain less-developed regions may be drawn into a downward demographic and educational spiral to the extent that these two processes are mutually reinforcing, leading to further deterioration in their competitiveness and educational systems; calls therefore for strategic solutions to be drawn up to promote the improved mobility of schoolchildren and students and to assist, where necessary, their return to their region of origin;</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considers that it is high time for the necessary investment to be made in educational infrastructure, both in more developed and less developed regions, always taking care to adapt coordinated investment to the specific features of the region concerned. In this connection, it is particularly important to allow for greater support from the European Investment Bank and the European funds for regional initiatives aimed at developing education;</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points out that making higher education, training and publicly funded education systems subordinate to the requirements of effectiveness, direct competitiveness and rapid or even immediate employability could endanger the existence of disciplines and skills whose disappearance would do incalculable medium and long-term damage to European culture, the arts, high-level science and local knowledge, even though they offer very few openings for graduates;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stresses that, with regard to school, training and possibly higher education provided in the languages of national or ethnic minorities, everything possible should be done to prevent any restriction on access to education for pupils from minorities and to set up systems that will enable any graduate from a minority background, refugee or non-European immigrant to enjoy the same opportunities for accessing continuing training and employment as other graduates;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draws attention to the fact that, in several Member States, confessional educational institutions and schools and higher education and training institutions run by churches and religious organisations make a major contribution to high-quality schooling and higher education in Europe, particularly in regions where maintaining such institutions would not be of interest to the private sector and would be considered too inefficient by the public sector; therefore considers that these actors should be considered as partners and, if necessary, involved in drawing up policies at European, national, regional and local level;</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considers that one of the fundamental challenges in managing the migration crisis and the situation of refugees lies in identifying the skills, aptitudes and qualifications of the people concerned and, where necessary, establishing equivalences, without which there can be no true educational integration or involvement in the labour market; therefore considers that the European Commission should enter into consultation with the local and regional authorities concerned with a view to joint, effective management of the situation, with due respect for objectives in the areas of integration, equal opportunities and human rights;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calls for consideration to be given to ways of boosting sports and health education in the education system, with particular emphasis on primary education and support for extra-curricular programmes;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stresses that education and training should contribute to the promotion and acquisition of traditional European values and culture, so as to combat radicalisation, exclusion, xenophobia and the risk of the propagation of extremism in its different forms;</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expressly requests that the objectives for modernising school and higher education be re-examined to ensure that they are not detrimental to certain less-developed regions; it should be noted in this connection that employment opportunities in certain regions are mainly available to applicants who have completed vocational education and training and that, if the development of this type of education were no longer included among the priorities, this would do even more damage to the economic and social situation of the region;</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shares the Commission's view that, in the area of school and higher education and training, the dissemination of multilevel governance instruments and, where justified, recourse to decentralisation could be a suitable way of encouraging cooperation and partnerships between certain regions - including border regions and those with similar characteristics - with a view to effective planning and implementation of the process of modernising school and higher education;</w:t>
      </w:r>
    </w:p>
    <w:p w:rsidR="00336D5E" w:rsidRPr="00156512" w:rsidRDefault="00336D5E" w:rsidP="00336D5E">
      <w:pPr>
        <w:spacing w:line="281" w:lineRule="auto"/>
      </w:pPr>
    </w:p>
    <w:p w:rsidR="007D134B" w:rsidRPr="00156512" w:rsidRDefault="007D134B" w:rsidP="00336D5E">
      <w:pPr>
        <w:pStyle w:val="Heading1"/>
        <w:spacing w:line="281" w:lineRule="auto"/>
      </w:pPr>
      <w:r w:rsidRPr="00156512">
        <w:t>calls on the European Commission to consider the European Committee of the Regions as a partner in the process of drawing up policy for the development and modernisation of school and higher education and, during the consultative process, to make as much use as possible of the expertise of local and regional authorities, on the one hand as stakeholders and on the other as the authorities responsible for supporting or organising the educational system.</w:t>
      </w:r>
    </w:p>
    <w:p w:rsidR="007D134B" w:rsidRPr="00156512" w:rsidRDefault="007D134B" w:rsidP="00336D5E">
      <w:pPr>
        <w:spacing w:line="281" w:lineRule="auto"/>
      </w:pPr>
    </w:p>
    <w:p w:rsidR="007D134B" w:rsidRPr="00156512" w:rsidRDefault="005C3632" w:rsidP="00336D5E">
      <w:pPr>
        <w:spacing w:line="281" w:lineRule="auto"/>
      </w:pPr>
      <w:r w:rsidRPr="00156512">
        <w:t>Brussels, ...</w:t>
      </w:r>
    </w:p>
    <w:p w:rsidR="007D134B" w:rsidRPr="00156512" w:rsidRDefault="007D134B" w:rsidP="00336D5E">
      <w:pPr>
        <w:spacing w:line="281" w:lineRule="auto"/>
      </w:pPr>
    </w:p>
    <w:p w:rsidR="007D134B" w:rsidRPr="00156512" w:rsidRDefault="007D134B" w:rsidP="00336D5E">
      <w:pPr>
        <w:pStyle w:val="ListParagraph"/>
        <w:numPr>
          <w:ilvl w:val="0"/>
          <w:numId w:val="14"/>
        </w:numPr>
        <w:spacing w:line="281" w:lineRule="auto"/>
        <w:ind w:left="567" w:hanging="567"/>
      </w:pPr>
      <w:r w:rsidRPr="00156512">
        <w:br w:type="page"/>
      </w:r>
      <w:r w:rsidRPr="00156512">
        <w:rPr>
          <w:b/>
        </w:rPr>
        <w:t>PROCEDURE</w:t>
      </w:r>
    </w:p>
    <w:p w:rsidR="007D134B" w:rsidRPr="00156512" w:rsidRDefault="007D134B" w:rsidP="00336D5E">
      <w:pPr>
        <w:spacing w:line="281"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8"/>
        <w:gridCol w:w="5441"/>
      </w:tblGrid>
      <w:tr w:rsidR="007D134B" w:rsidRPr="00156512" w:rsidTr="00082865">
        <w:tc>
          <w:tcPr>
            <w:tcW w:w="3848" w:type="dxa"/>
            <w:noWrap/>
          </w:tcPr>
          <w:p w:rsidR="007D134B" w:rsidRPr="00156512" w:rsidRDefault="007D134B" w:rsidP="002D1629">
            <w:pPr>
              <w:spacing w:line="281" w:lineRule="auto"/>
              <w:rPr>
                <w:b/>
                <w:bCs/>
              </w:rPr>
            </w:pPr>
            <w:r w:rsidRPr="00156512">
              <w:rPr>
                <w:b/>
              </w:rPr>
              <w:t>Title</w:t>
            </w:r>
          </w:p>
          <w:p w:rsidR="007D134B" w:rsidRPr="00156512" w:rsidRDefault="007D134B" w:rsidP="002D1629">
            <w:pPr>
              <w:spacing w:line="281" w:lineRule="auto"/>
            </w:pPr>
          </w:p>
        </w:tc>
        <w:tc>
          <w:tcPr>
            <w:tcW w:w="5441" w:type="dxa"/>
            <w:noWrap/>
          </w:tcPr>
          <w:p w:rsidR="007D134B" w:rsidRPr="00156512" w:rsidRDefault="007D134B" w:rsidP="00336D5E">
            <w:pPr>
              <w:spacing w:line="281" w:lineRule="auto"/>
            </w:pPr>
            <w:r w:rsidRPr="00156512">
              <w:t>Modernising school and higher education</w:t>
            </w:r>
          </w:p>
        </w:tc>
      </w:tr>
      <w:tr w:rsidR="007D134B" w:rsidRPr="00156512" w:rsidTr="00082865">
        <w:tc>
          <w:tcPr>
            <w:tcW w:w="3848" w:type="dxa"/>
            <w:noWrap/>
          </w:tcPr>
          <w:p w:rsidR="007D134B" w:rsidRPr="00156512" w:rsidRDefault="007D134B" w:rsidP="002D1629">
            <w:pPr>
              <w:spacing w:line="281" w:lineRule="auto"/>
            </w:pPr>
            <w:r w:rsidRPr="00156512">
              <w:rPr>
                <w:b/>
              </w:rPr>
              <w:t>References</w:t>
            </w:r>
          </w:p>
        </w:tc>
        <w:tc>
          <w:tcPr>
            <w:tcW w:w="5441" w:type="dxa"/>
            <w:noWrap/>
          </w:tcPr>
          <w:p w:rsidR="007D134B" w:rsidRPr="00156512" w:rsidRDefault="007D134B" w:rsidP="00336D5E">
            <w:pPr>
              <w:spacing w:line="281" w:lineRule="auto"/>
            </w:pPr>
            <w:r w:rsidRPr="00156512">
              <w:t>COM(2016) 247 final, COM(2016) 248 final, COM(2016) 249 final</w:t>
            </w:r>
          </w:p>
        </w:tc>
      </w:tr>
      <w:tr w:rsidR="007D134B" w:rsidRPr="00156512" w:rsidTr="00082865">
        <w:tc>
          <w:tcPr>
            <w:tcW w:w="3848" w:type="dxa"/>
            <w:noWrap/>
          </w:tcPr>
          <w:p w:rsidR="007D134B" w:rsidRPr="00156512" w:rsidRDefault="007D134B" w:rsidP="002D1629">
            <w:pPr>
              <w:spacing w:line="281" w:lineRule="auto"/>
            </w:pPr>
            <w:r w:rsidRPr="00156512">
              <w:rPr>
                <w:b/>
              </w:rPr>
              <w:t>Legal basis</w:t>
            </w:r>
          </w:p>
        </w:tc>
        <w:tc>
          <w:tcPr>
            <w:tcW w:w="5441" w:type="dxa"/>
            <w:noWrap/>
          </w:tcPr>
          <w:p w:rsidR="007D134B" w:rsidRPr="00156512" w:rsidRDefault="005C3632" w:rsidP="005C3632">
            <w:pPr>
              <w:spacing w:line="281" w:lineRule="auto"/>
            </w:pPr>
            <w:r w:rsidRPr="00156512">
              <w:t>Article 165 TFEU; Article 166 TFEU</w:t>
            </w:r>
          </w:p>
        </w:tc>
      </w:tr>
      <w:tr w:rsidR="007D134B" w:rsidRPr="00156512" w:rsidTr="00082865">
        <w:tc>
          <w:tcPr>
            <w:tcW w:w="3848" w:type="dxa"/>
            <w:noWrap/>
          </w:tcPr>
          <w:p w:rsidR="007D134B" w:rsidRPr="00156512" w:rsidRDefault="007D134B" w:rsidP="002D1629">
            <w:pPr>
              <w:spacing w:line="281" w:lineRule="auto"/>
            </w:pPr>
            <w:r w:rsidRPr="00156512">
              <w:rPr>
                <w:b/>
              </w:rPr>
              <w:t>Procedural basis</w:t>
            </w:r>
          </w:p>
        </w:tc>
        <w:tc>
          <w:tcPr>
            <w:tcW w:w="5441" w:type="dxa"/>
            <w:noWrap/>
          </w:tcPr>
          <w:p w:rsidR="007D134B" w:rsidRPr="00156512" w:rsidRDefault="007D134B" w:rsidP="00336D5E">
            <w:pPr>
              <w:spacing w:line="281" w:lineRule="auto"/>
            </w:pPr>
            <w:r w:rsidRPr="00156512">
              <w:t>Rule 41(b)(i) of the Rules of Procedure</w:t>
            </w:r>
          </w:p>
        </w:tc>
      </w:tr>
      <w:tr w:rsidR="007D134B" w:rsidRPr="00156512" w:rsidTr="00082865">
        <w:tc>
          <w:tcPr>
            <w:tcW w:w="3848" w:type="dxa"/>
            <w:noWrap/>
          </w:tcPr>
          <w:p w:rsidR="007D134B" w:rsidRPr="00156512" w:rsidRDefault="007D134B" w:rsidP="002D1629">
            <w:pPr>
              <w:spacing w:line="281" w:lineRule="auto"/>
            </w:pPr>
            <w:r w:rsidRPr="00156512">
              <w:rPr>
                <w:b/>
              </w:rPr>
              <w:t>Date of Council/EP referral/Date of Commission letter</w:t>
            </w:r>
          </w:p>
        </w:tc>
        <w:tc>
          <w:tcPr>
            <w:tcW w:w="5441" w:type="dxa"/>
            <w:noWrap/>
          </w:tcPr>
          <w:p w:rsidR="007D134B" w:rsidRPr="00156512" w:rsidRDefault="007D134B" w:rsidP="005C3632">
            <w:pPr>
              <w:spacing w:line="281" w:lineRule="auto"/>
            </w:pPr>
            <w:r w:rsidRPr="00156512">
              <w:t>30 May 2017</w:t>
            </w:r>
          </w:p>
        </w:tc>
      </w:tr>
      <w:tr w:rsidR="007D134B" w:rsidRPr="00156512" w:rsidTr="00082865">
        <w:tc>
          <w:tcPr>
            <w:tcW w:w="3848" w:type="dxa"/>
            <w:noWrap/>
          </w:tcPr>
          <w:p w:rsidR="007D134B" w:rsidRPr="00156512" w:rsidRDefault="007D134B" w:rsidP="002D1629">
            <w:pPr>
              <w:spacing w:line="281" w:lineRule="auto"/>
            </w:pPr>
            <w:r w:rsidRPr="00156512">
              <w:rPr>
                <w:b/>
              </w:rPr>
              <w:t>Date of Bureau/President's decision</w:t>
            </w:r>
          </w:p>
        </w:tc>
        <w:tc>
          <w:tcPr>
            <w:tcW w:w="5441" w:type="dxa"/>
            <w:noWrap/>
          </w:tcPr>
          <w:p w:rsidR="007D134B" w:rsidRPr="00156512" w:rsidRDefault="007D134B" w:rsidP="005C3632">
            <w:pPr>
              <w:spacing w:line="281" w:lineRule="auto"/>
            </w:pPr>
            <w:r w:rsidRPr="00156512">
              <w:t>20 June 2017</w:t>
            </w:r>
          </w:p>
        </w:tc>
      </w:tr>
      <w:tr w:rsidR="007D134B" w:rsidRPr="00156512" w:rsidTr="00082865">
        <w:tc>
          <w:tcPr>
            <w:tcW w:w="3848" w:type="dxa"/>
            <w:noWrap/>
          </w:tcPr>
          <w:p w:rsidR="007D134B" w:rsidRPr="00156512" w:rsidRDefault="007D134B" w:rsidP="002D1629">
            <w:pPr>
              <w:spacing w:line="281" w:lineRule="auto"/>
            </w:pPr>
            <w:r w:rsidRPr="00156512">
              <w:rPr>
                <w:b/>
              </w:rPr>
              <w:t>Commission responsible</w:t>
            </w:r>
          </w:p>
        </w:tc>
        <w:tc>
          <w:tcPr>
            <w:tcW w:w="5441" w:type="dxa"/>
            <w:noWrap/>
          </w:tcPr>
          <w:p w:rsidR="007D134B" w:rsidRPr="00156512" w:rsidRDefault="007D134B" w:rsidP="00336D5E">
            <w:pPr>
              <w:spacing w:line="281" w:lineRule="auto"/>
            </w:pPr>
            <w:r w:rsidRPr="00156512">
              <w:t>SEDEC</w:t>
            </w:r>
          </w:p>
        </w:tc>
      </w:tr>
      <w:tr w:rsidR="007D134B" w:rsidRPr="00156512" w:rsidTr="00082865">
        <w:tc>
          <w:tcPr>
            <w:tcW w:w="3848" w:type="dxa"/>
            <w:noWrap/>
          </w:tcPr>
          <w:p w:rsidR="007D134B" w:rsidRPr="00156512" w:rsidRDefault="007D134B" w:rsidP="002D1629">
            <w:pPr>
              <w:spacing w:line="281" w:lineRule="auto"/>
            </w:pPr>
            <w:r w:rsidRPr="00156512">
              <w:rPr>
                <w:b/>
              </w:rPr>
              <w:t>Rapporteur</w:t>
            </w:r>
          </w:p>
        </w:tc>
        <w:tc>
          <w:tcPr>
            <w:tcW w:w="5441" w:type="dxa"/>
            <w:noWrap/>
          </w:tcPr>
          <w:p w:rsidR="007D134B" w:rsidRPr="00156512" w:rsidRDefault="007D134B" w:rsidP="00336D5E">
            <w:pPr>
              <w:spacing w:line="281" w:lineRule="auto"/>
            </w:pPr>
            <w:r w:rsidRPr="00156512">
              <w:t>Csaba Borboly (RO/EPP)</w:t>
            </w:r>
          </w:p>
        </w:tc>
      </w:tr>
      <w:tr w:rsidR="007D134B" w:rsidRPr="00156512" w:rsidTr="00082865">
        <w:tc>
          <w:tcPr>
            <w:tcW w:w="3848" w:type="dxa"/>
            <w:noWrap/>
          </w:tcPr>
          <w:p w:rsidR="007D134B" w:rsidRPr="00156512" w:rsidRDefault="007D134B" w:rsidP="002D1629">
            <w:pPr>
              <w:spacing w:line="281" w:lineRule="auto"/>
            </w:pPr>
            <w:r w:rsidRPr="00156512">
              <w:rPr>
                <w:b/>
              </w:rPr>
              <w:t>Analysis</w:t>
            </w:r>
          </w:p>
        </w:tc>
        <w:tc>
          <w:tcPr>
            <w:tcW w:w="5441" w:type="dxa"/>
            <w:noWrap/>
          </w:tcPr>
          <w:p w:rsidR="007D134B" w:rsidRPr="00156512" w:rsidRDefault="005C3632" w:rsidP="005C3632">
            <w:pPr>
              <w:spacing w:line="281" w:lineRule="auto"/>
            </w:pPr>
            <w:r w:rsidRPr="00156512">
              <w:t>July 2017</w:t>
            </w:r>
          </w:p>
        </w:tc>
      </w:tr>
      <w:tr w:rsidR="007D134B" w:rsidRPr="00156512" w:rsidTr="00082865">
        <w:tc>
          <w:tcPr>
            <w:tcW w:w="3848" w:type="dxa"/>
            <w:noWrap/>
          </w:tcPr>
          <w:p w:rsidR="007D134B" w:rsidRPr="00156512" w:rsidRDefault="007D134B" w:rsidP="002D1629">
            <w:pPr>
              <w:spacing w:line="281" w:lineRule="auto"/>
            </w:pPr>
            <w:r w:rsidRPr="00156512">
              <w:rPr>
                <w:b/>
              </w:rPr>
              <w:t>Discussed in commission</w:t>
            </w:r>
          </w:p>
        </w:tc>
        <w:tc>
          <w:tcPr>
            <w:tcW w:w="5441" w:type="dxa"/>
            <w:noWrap/>
          </w:tcPr>
          <w:p w:rsidR="007D134B" w:rsidRPr="00156512" w:rsidRDefault="007D134B" w:rsidP="005C3632">
            <w:pPr>
              <w:spacing w:line="281" w:lineRule="auto"/>
            </w:pPr>
            <w:r w:rsidRPr="00156512">
              <w:t>28 September 2017 (tbc)</w:t>
            </w:r>
          </w:p>
        </w:tc>
      </w:tr>
      <w:tr w:rsidR="007D134B" w:rsidRPr="00156512" w:rsidTr="00082865">
        <w:tc>
          <w:tcPr>
            <w:tcW w:w="3848" w:type="dxa"/>
            <w:noWrap/>
          </w:tcPr>
          <w:p w:rsidR="007D134B" w:rsidRPr="00156512" w:rsidRDefault="007D134B" w:rsidP="002D1629">
            <w:pPr>
              <w:spacing w:line="281" w:lineRule="auto"/>
            </w:pPr>
            <w:r w:rsidRPr="00156512">
              <w:rPr>
                <w:b/>
              </w:rPr>
              <w:t>Date adopted by commission</w:t>
            </w:r>
          </w:p>
        </w:tc>
        <w:tc>
          <w:tcPr>
            <w:tcW w:w="5441" w:type="dxa"/>
            <w:noWrap/>
          </w:tcPr>
          <w:p w:rsidR="007D134B" w:rsidRPr="00156512" w:rsidRDefault="007D134B" w:rsidP="005C3632">
            <w:pPr>
              <w:spacing w:line="281" w:lineRule="auto"/>
            </w:pPr>
            <w:r w:rsidRPr="00156512">
              <w:t>28 September 2017 (tbc)</w:t>
            </w:r>
          </w:p>
        </w:tc>
      </w:tr>
      <w:tr w:rsidR="007D134B" w:rsidRPr="00156512" w:rsidTr="00082865">
        <w:tc>
          <w:tcPr>
            <w:tcW w:w="3848" w:type="dxa"/>
            <w:noWrap/>
          </w:tcPr>
          <w:p w:rsidR="007D134B" w:rsidRPr="00156512" w:rsidRDefault="007D134B" w:rsidP="002D1629">
            <w:pPr>
              <w:spacing w:line="281" w:lineRule="auto"/>
            </w:pPr>
            <w:r w:rsidRPr="00156512">
              <w:rPr>
                <w:b/>
              </w:rPr>
              <w:t>Result of the vote in commission (majority, unanimity)</w:t>
            </w:r>
          </w:p>
        </w:tc>
        <w:tc>
          <w:tcPr>
            <w:tcW w:w="5441" w:type="dxa"/>
            <w:noWrap/>
          </w:tcPr>
          <w:p w:rsidR="007D134B" w:rsidRPr="00156512" w:rsidRDefault="007D134B" w:rsidP="00336D5E">
            <w:pPr>
              <w:spacing w:line="281" w:lineRule="auto"/>
            </w:pPr>
          </w:p>
        </w:tc>
      </w:tr>
      <w:tr w:rsidR="007D134B" w:rsidRPr="00156512" w:rsidTr="00082865">
        <w:tc>
          <w:tcPr>
            <w:tcW w:w="3848" w:type="dxa"/>
            <w:noWrap/>
          </w:tcPr>
          <w:p w:rsidR="007D134B" w:rsidRPr="00156512" w:rsidRDefault="007D134B" w:rsidP="002D1629">
            <w:pPr>
              <w:spacing w:line="281" w:lineRule="auto"/>
            </w:pPr>
            <w:r w:rsidRPr="00156512">
              <w:rPr>
                <w:b/>
              </w:rPr>
              <w:t>Date adopted in plenary</w:t>
            </w:r>
          </w:p>
        </w:tc>
        <w:tc>
          <w:tcPr>
            <w:tcW w:w="5441" w:type="dxa"/>
            <w:noWrap/>
          </w:tcPr>
          <w:p w:rsidR="007D134B" w:rsidRPr="00156512" w:rsidRDefault="007D134B" w:rsidP="005C3632">
            <w:pPr>
              <w:spacing w:line="281" w:lineRule="auto"/>
            </w:pPr>
            <w:r w:rsidRPr="00156512">
              <w:t>30 November — 1 December 2017</w:t>
            </w:r>
          </w:p>
        </w:tc>
      </w:tr>
      <w:tr w:rsidR="007D134B" w:rsidRPr="00156512" w:rsidTr="00082865">
        <w:tc>
          <w:tcPr>
            <w:tcW w:w="3848" w:type="dxa"/>
            <w:noWrap/>
          </w:tcPr>
          <w:p w:rsidR="007D134B" w:rsidRPr="00156512" w:rsidRDefault="007D134B" w:rsidP="002D1629">
            <w:pPr>
              <w:spacing w:line="281" w:lineRule="auto"/>
            </w:pPr>
            <w:r w:rsidRPr="00156512">
              <w:rPr>
                <w:b/>
              </w:rPr>
              <w:t>Previous Committee opinions</w:t>
            </w:r>
          </w:p>
        </w:tc>
        <w:tc>
          <w:tcPr>
            <w:tcW w:w="5441" w:type="dxa"/>
            <w:noWrap/>
          </w:tcPr>
          <w:p w:rsidR="007D134B" w:rsidRPr="00156512" w:rsidRDefault="007D134B" w:rsidP="00336D5E">
            <w:pPr>
              <w:spacing w:line="281" w:lineRule="auto"/>
            </w:pPr>
            <w:r w:rsidRPr="00156512">
              <w:t>Investing in Europe's youth and the European Solidarity Corps</w:t>
            </w:r>
            <w:r w:rsidRPr="00156512">
              <w:rPr>
                <w:rStyle w:val="FootnoteReference"/>
              </w:rPr>
              <w:footnoteReference w:id="1"/>
            </w:r>
          </w:p>
          <w:p w:rsidR="007D134B" w:rsidRPr="00156512" w:rsidRDefault="007D134B" w:rsidP="00336D5E">
            <w:pPr>
              <w:spacing w:line="281" w:lineRule="auto"/>
            </w:pPr>
            <w:r w:rsidRPr="00156512">
              <w:t>New Skills Agenda for Europe</w:t>
            </w:r>
            <w:r w:rsidRPr="00156512">
              <w:rPr>
                <w:rStyle w:val="FootnoteReference"/>
              </w:rPr>
              <w:footnoteReference w:id="2"/>
            </w:r>
          </w:p>
          <w:p w:rsidR="007D134B" w:rsidRPr="00156512" w:rsidRDefault="007D134B" w:rsidP="00336D5E">
            <w:pPr>
              <w:spacing w:line="281" w:lineRule="auto"/>
              <w:rPr>
                <w:rFonts w:eastAsia="PMingLiU"/>
              </w:rPr>
            </w:pPr>
            <w:r w:rsidRPr="00156512">
              <w:t>Recognition of skills and competences acquired through non-formal and informal learning</w:t>
            </w:r>
            <w:r w:rsidRPr="00156512">
              <w:rPr>
                <w:rStyle w:val="FootnoteReference"/>
              </w:rPr>
              <w:footnoteReference w:id="3"/>
            </w:r>
          </w:p>
          <w:p w:rsidR="007D134B" w:rsidRPr="00156512" w:rsidRDefault="007D134B" w:rsidP="00336D5E">
            <w:pPr>
              <w:spacing w:line="281" w:lineRule="auto"/>
              <w:rPr>
                <w:rFonts w:eastAsia="PMingLiU"/>
              </w:rPr>
            </w:pPr>
            <w:r w:rsidRPr="00156512">
              <w:t>EU Quality Framework for anticipation of change and restructuring</w:t>
            </w:r>
            <w:r w:rsidRPr="00156512">
              <w:rPr>
                <w:rStyle w:val="FootnoteReference"/>
              </w:rPr>
              <w:footnoteReference w:id="4"/>
            </w:r>
          </w:p>
          <w:p w:rsidR="007D134B" w:rsidRPr="00156512" w:rsidRDefault="007D134B" w:rsidP="00336D5E">
            <w:pPr>
              <w:spacing w:line="281" w:lineRule="auto"/>
              <w:rPr>
                <w:rFonts w:eastAsia="PMingLiU"/>
              </w:rPr>
            </w:pPr>
            <w:r w:rsidRPr="00156512">
              <w:t>Opening up Education</w:t>
            </w:r>
            <w:r w:rsidRPr="00156512">
              <w:rPr>
                <w:rStyle w:val="FootnoteReference"/>
              </w:rPr>
              <w:footnoteReference w:id="5"/>
            </w:r>
          </w:p>
          <w:p w:rsidR="007D134B" w:rsidRPr="00156512" w:rsidRDefault="007D134B" w:rsidP="00336D5E">
            <w:pPr>
              <w:spacing w:line="281" w:lineRule="auto"/>
              <w:rPr>
                <w:rFonts w:eastAsia="PMingLiU"/>
              </w:rPr>
            </w:pPr>
            <w:r w:rsidRPr="00156512">
              <w:t>European higher education in the world</w:t>
            </w:r>
            <w:r w:rsidRPr="00156512">
              <w:rPr>
                <w:rStyle w:val="FootnoteReference"/>
              </w:rPr>
              <w:footnoteReference w:id="6"/>
            </w:r>
          </w:p>
          <w:p w:rsidR="007D134B" w:rsidRPr="00156512" w:rsidRDefault="007D134B" w:rsidP="00336D5E">
            <w:pPr>
              <w:spacing w:line="281" w:lineRule="auto"/>
              <w:rPr>
                <w:rFonts w:eastAsia="PMingLiU"/>
              </w:rPr>
            </w:pPr>
            <w:r w:rsidRPr="00156512">
              <w:t>Rethinking Education</w:t>
            </w:r>
            <w:r w:rsidRPr="00156512">
              <w:rPr>
                <w:rStyle w:val="FootnoteReference"/>
              </w:rPr>
              <w:footnoteReference w:id="7"/>
            </w:r>
          </w:p>
          <w:p w:rsidR="007D134B" w:rsidRPr="00156512" w:rsidRDefault="007D134B" w:rsidP="00336D5E">
            <w:pPr>
              <w:spacing w:line="281" w:lineRule="auto"/>
              <w:rPr>
                <w:rFonts w:eastAsia="PMingLiU"/>
              </w:rPr>
            </w:pPr>
            <w:r w:rsidRPr="00156512">
              <w:t>Quality Framework for Traineeships</w:t>
            </w:r>
            <w:r w:rsidRPr="00156512">
              <w:rPr>
                <w:rStyle w:val="FootnoteReference"/>
              </w:rPr>
              <w:footnoteReference w:id="8"/>
            </w:r>
          </w:p>
          <w:p w:rsidR="007D134B" w:rsidRPr="00156512" w:rsidRDefault="007D134B" w:rsidP="00336D5E">
            <w:pPr>
              <w:spacing w:line="281" w:lineRule="auto"/>
              <w:rPr>
                <w:rFonts w:eastAsia="PMingLiU"/>
              </w:rPr>
            </w:pPr>
            <w:r w:rsidRPr="00156512">
              <w:t>Erasmus for All</w:t>
            </w:r>
            <w:r w:rsidRPr="00156512">
              <w:rPr>
                <w:rStyle w:val="FootnoteReference"/>
              </w:rPr>
              <w:footnoteReference w:id="9"/>
            </w:r>
          </w:p>
          <w:p w:rsidR="007D134B" w:rsidRPr="00156512" w:rsidRDefault="007D134B" w:rsidP="00336D5E">
            <w:pPr>
              <w:spacing w:line="281" w:lineRule="auto"/>
              <w:rPr>
                <w:rFonts w:eastAsia="PMingLiU"/>
              </w:rPr>
            </w:pPr>
            <w:r w:rsidRPr="00156512">
              <w:t>Modernisation of Higher Education</w:t>
            </w:r>
            <w:r w:rsidRPr="00156512">
              <w:rPr>
                <w:rStyle w:val="FootnoteReference"/>
              </w:rPr>
              <w:footnoteReference w:id="10"/>
            </w:r>
          </w:p>
          <w:p w:rsidR="007D134B" w:rsidRPr="00156512" w:rsidRDefault="007D134B" w:rsidP="00336D5E">
            <w:pPr>
              <w:spacing w:line="281" w:lineRule="auto"/>
            </w:pPr>
            <w:r w:rsidRPr="00156512">
              <w:t>Agenda for new skills and jobs</w:t>
            </w:r>
            <w:r w:rsidRPr="00156512">
              <w:rPr>
                <w:rStyle w:val="FootnoteReference"/>
              </w:rPr>
              <w:footnoteReference w:id="11"/>
            </w:r>
          </w:p>
        </w:tc>
      </w:tr>
      <w:tr w:rsidR="007D134B" w:rsidRPr="00156512" w:rsidTr="00082865">
        <w:tc>
          <w:tcPr>
            <w:tcW w:w="3848" w:type="dxa"/>
            <w:noWrap/>
          </w:tcPr>
          <w:p w:rsidR="007D134B" w:rsidRPr="00156512" w:rsidRDefault="007D134B" w:rsidP="002D1629">
            <w:pPr>
              <w:spacing w:line="281" w:lineRule="auto"/>
              <w:rPr>
                <w:b/>
                <w:bCs/>
              </w:rPr>
            </w:pPr>
            <w:r w:rsidRPr="00156512">
              <w:rPr>
                <w:b/>
              </w:rPr>
              <w:t>Date of subsidiarity monitoring consultation</w:t>
            </w:r>
          </w:p>
        </w:tc>
        <w:tc>
          <w:tcPr>
            <w:tcW w:w="5441" w:type="dxa"/>
            <w:noWrap/>
          </w:tcPr>
          <w:p w:rsidR="007D134B" w:rsidRPr="00156512" w:rsidRDefault="007D134B" w:rsidP="00336D5E">
            <w:pPr>
              <w:spacing w:line="281" w:lineRule="auto"/>
            </w:pPr>
            <w:r w:rsidRPr="00156512">
              <w:t>N/A</w:t>
            </w:r>
          </w:p>
        </w:tc>
      </w:tr>
    </w:tbl>
    <w:p w:rsidR="007D134B" w:rsidRPr="00156512" w:rsidRDefault="007D134B" w:rsidP="00336D5E">
      <w:pPr>
        <w:spacing w:line="281" w:lineRule="auto"/>
      </w:pPr>
    </w:p>
    <w:p w:rsidR="007D134B" w:rsidRPr="00156512" w:rsidRDefault="007D134B" w:rsidP="0072460B">
      <w:pPr>
        <w:overflowPunct w:val="0"/>
        <w:autoSpaceDE w:val="0"/>
        <w:autoSpaceDN w:val="0"/>
        <w:adjustRightInd w:val="0"/>
        <w:spacing w:line="281" w:lineRule="auto"/>
        <w:jc w:val="center"/>
        <w:textAlignment w:val="baseline"/>
      </w:pPr>
      <w:r w:rsidRPr="00156512">
        <w:t>_____________</w:t>
      </w:r>
    </w:p>
    <w:sectPr w:rsidR="007D134B" w:rsidRPr="00156512" w:rsidSect="0072460B">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98" w:rsidRDefault="00444A98">
      <w:r>
        <w:separator/>
      </w:r>
    </w:p>
  </w:endnote>
  <w:endnote w:type="continuationSeparator" w:id="0">
    <w:p w:rsidR="00444A98" w:rsidRDefault="0044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60B" w:rsidRDefault="0072460B">
    <w:pPr>
      <w:pStyle w:val="Footer"/>
    </w:pPr>
    <w:r>
      <w:t xml:space="preserve">COR-2017-03139-00-00-PA-TRA (EN/HU) </w:t>
    </w:r>
    <w:r>
      <w:fldChar w:fldCharType="begin"/>
    </w:r>
    <w:r>
      <w:instrText xml:space="preserve"> PAGE  \* Arabic  \* MERGEFORMAT </w:instrText>
    </w:r>
    <w:r>
      <w:fldChar w:fldCharType="separate"/>
    </w:r>
    <w:r w:rsidR="00156512">
      <w:rPr>
        <w:noProof/>
      </w:rPr>
      <w:t>1</w:t>
    </w:r>
    <w:r>
      <w:fldChar w:fldCharType="end"/>
    </w:r>
    <w:r>
      <w:t>/</w:t>
    </w:r>
    <w:r>
      <w:fldChar w:fldCharType="begin"/>
    </w:r>
    <w:r>
      <w:instrText xml:space="preserve"> = </w:instrText>
    </w:r>
    <w:fldSimple w:instr=" NUMPAGES ">
      <w:r w:rsidR="00156512">
        <w:rPr>
          <w:noProof/>
        </w:rPr>
        <w:instrText>3</w:instrText>
      </w:r>
    </w:fldSimple>
    <w:r>
      <w:instrText xml:space="preserve"> </w:instrText>
    </w:r>
    <w:r>
      <w:fldChar w:fldCharType="separate"/>
    </w:r>
    <w:r w:rsidR="0015651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72460B" w:rsidRDefault="002D1629" w:rsidP="007246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72460B" w:rsidRDefault="0072460B" w:rsidP="0072460B">
    <w:pPr>
      <w:pStyle w:val="Footer"/>
    </w:pPr>
    <w:r>
      <w:t xml:space="preserve">COR-2017-03139-00-00-PA-TRA (EN/HU) </w:t>
    </w:r>
    <w:r>
      <w:fldChar w:fldCharType="begin"/>
    </w:r>
    <w:r>
      <w:instrText xml:space="preserve"> PAGE  \* Arabic  \* MERGEFORMAT </w:instrText>
    </w:r>
    <w:r>
      <w:fldChar w:fldCharType="separate"/>
    </w:r>
    <w:r w:rsidR="00156512">
      <w:rPr>
        <w:noProof/>
      </w:rPr>
      <w:t>3</w:t>
    </w:r>
    <w:r>
      <w:fldChar w:fldCharType="end"/>
    </w:r>
    <w:r>
      <w:t>/</w:t>
    </w:r>
    <w:r>
      <w:fldChar w:fldCharType="begin"/>
    </w:r>
    <w:r>
      <w:instrText xml:space="preserve"> = </w:instrText>
    </w:r>
    <w:fldSimple w:instr=" NUMPAGES ">
      <w:r w:rsidR="00156512">
        <w:rPr>
          <w:noProof/>
        </w:rPr>
        <w:instrText>3</w:instrText>
      </w:r>
    </w:fldSimple>
    <w:r>
      <w:instrText xml:space="preserve"> </w:instrText>
    </w:r>
    <w:r>
      <w:fldChar w:fldCharType="separate"/>
    </w:r>
    <w:r w:rsidR="00156512">
      <w:rPr>
        <w:noProof/>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72460B" w:rsidRDefault="002D1629" w:rsidP="007246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98" w:rsidRDefault="00444A98">
      <w:r>
        <w:separator/>
      </w:r>
    </w:p>
  </w:footnote>
  <w:footnote w:type="continuationSeparator" w:id="0">
    <w:p w:rsidR="00444A98" w:rsidRDefault="00444A98">
      <w:r>
        <w:continuationSeparator/>
      </w:r>
    </w:p>
  </w:footnote>
  <w:footnote w:id="1">
    <w:p w:rsidR="007D134B" w:rsidRPr="00AD2CB0" w:rsidRDefault="007D134B" w:rsidP="007D134B">
      <w:pPr>
        <w:pStyle w:val="FootnoteText"/>
      </w:pPr>
      <w:r>
        <w:rPr>
          <w:rStyle w:val="FootnoteReference"/>
        </w:rPr>
        <w:footnoteRef/>
      </w:r>
      <w:r>
        <w:t xml:space="preserve"> </w:t>
      </w:r>
      <w:r>
        <w:tab/>
        <w:t>CDR 851/2017.</w:t>
      </w:r>
    </w:p>
  </w:footnote>
  <w:footnote w:id="2">
    <w:p w:rsidR="007D134B" w:rsidRPr="00AD2CB0" w:rsidRDefault="007D134B" w:rsidP="007D134B">
      <w:pPr>
        <w:pStyle w:val="FootnoteText"/>
      </w:pPr>
      <w:r>
        <w:rPr>
          <w:rStyle w:val="FootnoteReference"/>
        </w:rPr>
        <w:footnoteRef/>
      </w:r>
      <w:r>
        <w:t xml:space="preserve"> </w:t>
      </w:r>
      <w:r>
        <w:tab/>
        <w:t>CDR 4094/2016.</w:t>
      </w:r>
    </w:p>
  </w:footnote>
  <w:footnote w:id="3">
    <w:p w:rsidR="007D134B" w:rsidRPr="00AD2CB0" w:rsidRDefault="007D134B" w:rsidP="007D134B">
      <w:pPr>
        <w:pStyle w:val="FootnoteText"/>
      </w:pPr>
      <w:r>
        <w:rPr>
          <w:rStyle w:val="FootnoteReference"/>
        </w:rPr>
        <w:footnoteRef/>
      </w:r>
      <w:r>
        <w:t xml:space="preserve"> </w:t>
      </w:r>
      <w:r>
        <w:tab/>
        <w:t>CDR 3921/2014.</w:t>
      </w:r>
    </w:p>
  </w:footnote>
  <w:footnote w:id="4">
    <w:p w:rsidR="007D134B" w:rsidRPr="00AD2CB0" w:rsidRDefault="007D134B" w:rsidP="007D134B">
      <w:pPr>
        <w:pStyle w:val="FootnoteText"/>
      </w:pPr>
      <w:r>
        <w:rPr>
          <w:rStyle w:val="FootnoteReference"/>
        </w:rPr>
        <w:footnoteRef/>
      </w:r>
      <w:r>
        <w:t xml:space="preserve"> </w:t>
      </w:r>
      <w:r>
        <w:tab/>
        <w:t>CDR 1319/2014.</w:t>
      </w:r>
    </w:p>
  </w:footnote>
  <w:footnote w:id="5">
    <w:p w:rsidR="007D134B" w:rsidRPr="00AD2CB0" w:rsidRDefault="007D134B" w:rsidP="007D134B">
      <w:pPr>
        <w:pStyle w:val="FootnoteText"/>
      </w:pPr>
      <w:r>
        <w:rPr>
          <w:rStyle w:val="FootnoteReference"/>
        </w:rPr>
        <w:footnoteRef/>
      </w:r>
      <w:r>
        <w:t xml:space="preserve"> </w:t>
      </w:r>
      <w:r>
        <w:tab/>
        <w:t>CDR 6183/2013.</w:t>
      </w:r>
    </w:p>
  </w:footnote>
  <w:footnote w:id="6">
    <w:p w:rsidR="007D134B" w:rsidRPr="00AD2CB0" w:rsidRDefault="007D134B" w:rsidP="007D134B">
      <w:pPr>
        <w:pStyle w:val="FootnoteText"/>
      </w:pPr>
      <w:r>
        <w:rPr>
          <w:rStyle w:val="FootnoteReference"/>
        </w:rPr>
        <w:footnoteRef/>
      </w:r>
      <w:r>
        <w:t xml:space="preserve"> </w:t>
      </w:r>
      <w:r>
        <w:tab/>
        <w:t>CDR 5961/2013.</w:t>
      </w:r>
    </w:p>
  </w:footnote>
  <w:footnote w:id="7">
    <w:p w:rsidR="007D134B" w:rsidRPr="00AD2CB0" w:rsidRDefault="007D134B" w:rsidP="007D134B">
      <w:pPr>
        <w:pStyle w:val="FootnoteText"/>
      </w:pPr>
      <w:r>
        <w:rPr>
          <w:rStyle w:val="FootnoteReference"/>
        </w:rPr>
        <w:footnoteRef/>
      </w:r>
      <w:r>
        <w:t xml:space="preserve"> </w:t>
      </w:r>
      <w:r>
        <w:tab/>
        <w:t>CDR 2392/2012.</w:t>
      </w:r>
    </w:p>
  </w:footnote>
  <w:footnote w:id="8">
    <w:p w:rsidR="007D134B" w:rsidRPr="00AD2CB0" w:rsidRDefault="007D134B" w:rsidP="007D134B">
      <w:pPr>
        <w:pStyle w:val="FootnoteText"/>
      </w:pPr>
      <w:r>
        <w:rPr>
          <w:rStyle w:val="FootnoteReference"/>
        </w:rPr>
        <w:footnoteRef/>
      </w:r>
      <w:r>
        <w:t xml:space="preserve"> </w:t>
      </w:r>
      <w:r>
        <w:tab/>
        <w:t>CDR 111/2014.</w:t>
      </w:r>
    </w:p>
  </w:footnote>
  <w:footnote w:id="9">
    <w:p w:rsidR="007D134B" w:rsidRPr="00AD2CB0" w:rsidRDefault="007D134B" w:rsidP="007D134B">
      <w:pPr>
        <w:pStyle w:val="FootnoteText"/>
      </w:pPr>
      <w:r>
        <w:rPr>
          <w:rStyle w:val="FootnoteReference"/>
        </w:rPr>
        <w:footnoteRef/>
      </w:r>
      <w:r>
        <w:t xml:space="preserve"> </w:t>
      </w:r>
      <w:r>
        <w:tab/>
        <w:t>CDR 400/2011.</w:t>
      </w:r>
    </w:p>
  </w:footnote>
  <w:footnote w:id="10">
    <w:p w:rsidR="007D134B" w:rsidRPr="00AD2CB0" w:rsidRDefault="007D134B" w:rsidP="007D134B">
      <w:pPr>
        <w:pStyle w:val="FootnoteText"/>
      </w:pPr>
      <w:r>
        <w:rPr>
          <w:rStyle w:val="FootnoteReference"/>
        </w:rPr>
        <w:footnoteRef/>
      </w:r>
      <w:r>
        <w:t xml:space="preserve"> </w:t>
      </w:r>
      <w:r>
        <w:tab/>
        <w:t>CDR 290/2011.</w:t>
      </w:r>
    </w:p>
  </w:footnote>
  <w:footnote w:id="11">
    <w:p w:rsidR="007D134B" w:rsidRPr="00AD2CB0" w:rsidRDefault="007D134B" w:rsidP="007D134B">
      <w:pPr>
        <w:pStyle w:val="FootnoteText"/>
      </w:pPr>
      <w:r>
        <w:rPr>
          <w:rStyle w:val="FootnoteReference"/>
        </w:rPr>
        <w:footnoteRef/>
      </w:r>
      <w:r>
        <w:t xml:space="preserve"> </w:t>
      </w:r>
      <w:r>
        <w:tab/>
        <w:t>CDR 401/2010.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72460B" w:rsidRDefault="002D1629" w:rsidP="007246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72460B" w:rsidRDefault="002D1629" w:rsidP="00724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29" w:rsidRPr="0072460B" w:rsidRDefault="002D1629" w:rsidP="00724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E96977"/>
    <w:multiLevelType w:val="hybridMultilevel"/>
    <w:tmpl w:val="7C344B1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5"/>
  </w:num>
  <w:num w:numId="3">
    <w:abstractNumId w:val="12"/>
  </w:num>
  <w:num w:numId="4">
    <w:abstractNumId w:val="6"/>
  </w:num>
  <w:num w:numId="5">
    <w:abstractNumId w:val="8"/>
  </w:num>
  <w:num w:numId="6">
    <w:abstractNumId w:val="3"/>
  </w:num>
  <w:num w:numId="7">
    <w:abstractNumId w:val="1"/>
  </w:num>
  <w:num w:numId="8">
    <w:abstractNumId w:val="11"/>
  </w:num>
  <w:num w:numId="9">
    <w:abstractNumId w:val="9"/>
  </w:num>
  <w:num w:numId="10">
    <w:abstractNumId w:val="10"/>
  </w:num>
  <w:num w:numId="11">
    <w:abstractNumId w:val="2"/>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20D7F"/>
    <w:rsid w:val="000257DB"/>
    <w:rsid w:val="00042DCB"/>
    <w:rsid w:val="00046DAC"/>
    <w:rsid w:val="000615B3"/>
    <w:rsid w:val="00067BA8"/>
    <w:rsid w:val="00083AE8"/>
    <w:rsid w:val="00091F83"/>
    <w:rsid w:val="000A01F6"/>
    <w:rsid w:val="000B74D3"/>
    <w:rsid w:val="000C3BC1"/>
    <w:rsid w:val="000D6A84"/>
    <w:rsid w:val="000F62F8"/>
    <w:rsid w:val="0010086D"/>
    <w:rsid w:val="00101FBB"/>
    <w:rsid w:val="00112E32"/>
    <w:rsid w:val="00115A04"/>
    <w:rsid w:val="0012190B"/>
    <w:rsid w:val="00131D21"/>
    <w:rsid w:val="001501C1"/>
    <w:rsid w:val="001546DA"/>
    <w:rsid w:val="0015645B"/>
    <w:rsid w:val="00156512"/>
    <w:rsid w:val="0016150F"/>
    <w:rsid w:val="001B33A4"/>
    <w:rsid w:val="001C110B"/>
    <w:rsid w:val="001C66A9"/>
    <w:rsid w:val="001D226A"/>
    <w:rsid w:val="001D2F9B"/>
    <w:rsid w:val="001D3BE0"/>
    <w:rsid w:val="001E5620"/>
    <w:rsid w:val="001F1AB8"/>
    <w:rsid w:val="002033F5"/>
    <w:rsid w:val="002054D0"/>
    <w:rsid w:val="002302F1"/>
    <w:rsid w:val="002413A7"/>
    <w:rsid w:val="002526F1"/>
    <w:rsid w:val="00254B94"/>
    <w:rsid w:val="00254E56"/>
    <w:rsid w:val="0026767E"/>
    <w:rsid w:val="00293319"/>
    <w:rsid w:val="002A67BF"/>
    <w:rsid w:val="002B1E5E"/>
    <w:rsid w:val="002D1629"/>
    <w:rsid w:val="002D618D"/>
    <w:rsid w:val="002F03D6"/>
    <w:rsid w:val="00312F3D"/>
    <w:rsid w:val="00314A0E"/>
    <w:rsid w:val="003177A9"/>
    <w:rsid w:val="00322488"/>
    <w:rsid w:val="00334D96"/>
    <w:rsid w:val="00336D5E"/>
    <w:rsid w:val="00343073"/>
    <w:rsid w:val="003563A4"/>
    <w:rsid w:val="00367564"/>
    <w:rsid w:val="00373ED4"/>
    <w:rsid w:val="00374ED4"/>
    <w:rsid w:val="00383975"/>
    <w:rsid w:val="00384118"/>
    <w:rsid w:val="0039084B"/>
    <w:rsid w:val="003A043C"/>
    <w:rsid w:val="003A129E"/>
    <w:rsid w:val="003B0723"/>
    <w:rsid w:val="003B1C77"/>
    <w:rsid w:val="003C0F98"/>
    <w:rsid w:val="003D166F"/>
    <w:rsid w:val="003D3733"/>
    <w:rsid w:val="003E420C"/>
    <w:rsid w:val="00406724"/>
    <w:rsid w:val="00406A0F"/>
    <w:rsid w:val="00410992"/>
    <w:rsid w:val="00421E63"/>
    <w:rsid w:val="004336B4"/>
    <w:rsid w:val="00444A98"/>
    <w:rsid w:val="00454AD9"/>
    <w:rsid w:val="00475484"/>
    <w:rsid w:val="004827B8"/>
    <w:rsid w:val="00487E64"/>
    <w:rsid w:val="004A0C7C"/>
    <w:rsid w:val="004A41CF"/>
    <w:rsid w:val="004A5101"/>
    <w:rsid w:val="004E3DB0"/>
    <w:rsid w:val="004E605D"/>
    <w:rsid w:val="004F6586"/>
    <w:rsid w:val="005334CE"/>
    <w:rsid w:val="005523CF"/>
    <w:rsid w:val="00571DEF"/>
    <w:rsid w:val="00575FC1"/>
    <w:rsid w:val="00583866"/>
    <w:rsid w:val="005918A5"/>
    <w:rsid w:val="00591F11"/>
    <w:rsid w:val="00592ED0"/>
    <w:rsid w:val="005A41BB"/>
    <w:rsid w:val="005A7F8D"/>
    <w:rsid w:val="005B2905"/>
    <w:rsid w:val="005B4AA1"/>
    <w:rsid w:val="005B5D3A"/>
    <w:rsid w:val="005B7425"/>
    <w:rsid w:val="005C3632"/>
    <w:rsid w:val="005C36CD"/>
    <w:rsid w:val="005C4B78"/>
    <w:rsid w:val="005C4F1C"/>
    <w:rsid w:val="005D31A6"/>
    <w:rsid w:val="005D4CF6"/>
    <w:rsid w:val="005E58C7"/>
    <w:rsid w:val="00603389"/>
    <w:rsid w:val="00610621"/>
    <w:rsid w:val="006178E4"/>
    <w:rsid w:val="006311E4"/>
    <w:rsid w:val="00642C48"/>
    <w:rsid w:val="00647B34"/>
    <w:rsid w:val="00654A3B"/>
    <w:rsid w:val="00670647"/>
    <w:rsid w:val="00694FE1"/>
    <w:rsid w:val="00696E78"/>
    <w:rsid w:val="006A4A0A"/>
    <w:rsid w:val="006A5576"/>
    <w:rsid w:val="006D0087"/>
    <w:rsid w:val="006D78CA"/>
    <w:rsid w:val="00720994"/>
    <w:rsid w:val="0072460B"/>
    <w:rsid w:val="0075508D"/>
    <w:rsid w:val="00777FAF"/>
    <w:rsid w:val="00785967"/>
    <w:rsid w:val="007A6D76"/>
    <w:rsid w:val="007B10B2"/>
    <w:rsid w:val="007B2E4D"/>
    <w:rsid w:val="007C7B6E"/>
    <w:rsid w:val="007D134B"/>
    <w:rsid w:val="007D5C47"/>
    <w:rsid w:val="007E16CA"/>
    <w:rsid w:val="007F0079"/>
    <w:rsid w:val="007F68C4"/>
    <w:rsid w:val="00810512"/>
    <w:rsid w:val="00812974"/>
    <w:rsid w:val="00814EF3"/>
    <w:rsid w:val="008224B6"/>
    <w:rsid w:val="008317D5"/>
    <w:rsid w:val="00837FA5"/>
    <w:rsid w:val="00847E17"/>
    <w:rsid w:val="00866F5C"/>
    <w:rsid w:val="0087062D"/>
    <w:rsid w:val="008C2873"/>
    <w:rsid w:val="008C73E5"/>
    <w:rsid w:val="008D3638"/>
    <w:rsid w:val="008D5CBC"/>
    <w:rsid w:val="008E6698"/>
    <w:rsid w:val="008F1E52"/>
    <w:rsid w:val="008F2A72"/>
    <w:rsid w:val="00913B7D"/>
    <w:rsid w:val="00934456"/>
    <w:rsid w:val="009352AE"/>
    <w:rsid w:val="00937201"/>
    <w:rsid w:val="009426D8"/>
    <w:rsid w:val="009A16C1"/>
    <w:rsid w:val="009A6E15"/>
    <w:rsid w:val="009A7777"/>
    <w:rsid w:val="009B5250"/>
    <w:rsid w:val="009B77BA"/>
    <w:rsid w:val="009B7E9A"/>
    <w:rsid w:val="009C2904"/>
    <w:rsid w:val="009C699C"/>
    <w:rsid w:val="009F0B69"/>
    <w:rsid w:val="009F7D37"/>
    <w:rsid w:val="00A012E5"/>
    <w:rsid w:val="00A06C9B"/>
    <w:rsid w:val="00A402C8"/>
    <w:rsid w:val="00A70BB2"/>
    <w:rsid w:val="00A84676"/>
    <w:rsid w:val="00A85A08"/>
    <w:rsid w:val="00A911A9"/>
    <w:rsid w:val="00A91F95"/>
    <w:rsid w:val="00AA77B1"/>
    <w:rsid w:val="00AB0937"/>
    <w:rsid w:val="00AD2CB0"/>
    <w:rsid w:val="00AD5BE5"/>
    <w:rsid w:val="00AE4401"/>
    <w:rsid w:val="00B12F64"/>
    <w:rsid w:val="00B33430"/>
    <w:rsid w:val="00B45922"/>
    <w:rsid w:val="00B5642E"/>
    <w:rsid w:val="00B65DB1"/>
    <w:rsid w:val="00B935AD"/>
    <w:rsid w:val="00B9461B"/>
    <w:rsid w:val="00BB4B32"/>
    <w:rsid w:val="00BC3580"/>
    <w:rsid w:val="00BE061F"/>
    <w:rsid w:val="00BE3E20"/>
    <w:rsid w:val="00BF7AE7"/>
    <w:rsid w:val="00C20C49"/>
    <w:rsid w:val="00C3552F"/>
    <w:rsid w:val="00C46910"/>
    <w:rsid w:val="00C639CA"/>
    <w:rsid w:val="00C76A94"/>
    <w:rsid w:val="00C82639"/>
    <w:rsid w:val="00CA5ADB"/>
    <w:rsid w:val="00CA6B49"/>
    <w:rsid w:val="00CB7BAE"/>
    <w:rsid w:val="00CE5929"/>
    <w:rsid w:val="00CF3F36"/>
    <w:rsid w:val="00CF6861"/>
    <w:rsid w:val="00D36311"/>
    <w:rsid w:val="00D46F0D"/>
    <w:rsid w:val="00D72E9D"/>
    <w:rsid w:val="00D83018"/>
    <w:rsid w:val="00D91423"/>
    <w:rsid w:val="00DA0453"/>
    <w:rsid w:val="00DA085F"/>
    <w:rsid w:val="00DA3DEA"/>
    <w:rsid w:val="00DA4B7B"/>
    <w:rsid w:val="00DA6D77"/>
    <w:rsid w:val="00DC55CB"/>
    <w:rsid w:val="00DC7AAD"/>
    <w:rsid w:val="00DD66B3"/>
    <w:rsid w:val="00DE5160"/>
    <w:rsid w:val="00DE664B"/>
    <w:rsid w:val="00DE752A"/>
    <w:rsid w:val="00DF09B7"/>
    <w:rsid w:val="00DF15C6"/>
    <w:rsid w:val="00DF4F0B"/>
    <w:rsid w:val="00DF5986"/>
    <w:rsid w:val="00DF7D46"/>
    <w:rsid w:val="00E30D3A"/>
    <w:rsid w:val="00E36280"/>
    <w:rsid w:val="00E52232"/>
    <w:rsid w:val="00E52AB4"/>
    <w:rsid w:val="00E67837"/>
    <w:rsid w:val="00E743BD"/>
    <w:rsid w:val="00E83485"/>
    <w:rsid w:val="00E83AE3"/>
    <w:rsid w:val="00E83E7B"/>
    <w:rsid w:val="00EB3B52"/>
    <w:rsid w:val="00EB56EF"/>
    <w:rsid w:val="00EC7C9B"/>
    <w:rsid w:val="00ED1BE8"/>
    <w:rsid w:val="00ED2E80"/>
    <w:rsid w:val="00EF0AF7"/>
    <w:rsid w:val="00EF7EAA"/>
    <w:rsid w:val="00F34E9D"/>
    <w:rsid w:val="00F4061A"/>
    <w:rsid w:val="00F40F26"/>
    <w:rsid w:val="00F42EDA"/>
    <w:rsid w:val="00F45402"/>
    <w:rsid w:val="00F55286"/>
    <w:rsid w:val="00F84BCE"/>
    <w:rsid w:val="00F85741"/>
    <w:rsid w:val="00F90F5A"/>
    <w:rsid w:val="00FA1EEE"/>
    <w:rsid w:val="00FE1EDF"/>
    <w:rsid w:val="00FE7B56"/>
    <w:rsid w:val="00FF2F93"/>
    <w:rsid w:val="00FF53DC"/>
    <w:rsid w:val="00FF695E"/>
    <w:rsid w:val="00FF71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29"/>
    <w:pPr>
      <w:spacing w:line="288" w:lineRule="auto"/>
      <w:jc w:val="both"/>
    </w:pPr>
    <w:rPr>
      <w:sz w:val="22"/>
      <w:szCs w:val="22"/>
    </w:rPr>
  </w:style>
  <w:style w:type="paragraph" w:styleId="Heading1">
    <w:name w:val="heading 1"/>
    <w:basedOn w:val="Normal"/>
    <w:next w:val="Normal"/>
    <w:link w:val="Heading1Char"/>
    <w:qFormat/>
    <w:rsid w:val="002D1629"/>
    <w:pPr>
      <w:numPr>
        <w:numId w:val="1"/>
      </w:numPr>
      <w:ind w:left="567" w:hanging="567"/>
      <w:outlineLvl w:val="0"/>
    </w:pPr>
    <w:rPr>
      <w:kern w:val="28"/>
    </w:rPr>
  </w:style>
  <w:style w:type="paragraph" w:styleId="Heading2">
    <w:name w:val="heading 2"/>
    <w:basedOn w:val="Normal"/>
    <w:next w:val="Normal"/>
    <w:link w:val="Heading2Char"/>
    <w:qFormat/>
    <w:rsid w:val="002D1629"/>
    <w:pPr>
      <w:numPr>
        <w:ilvl w:val="1"/>
        <w:numId w:val="1"/>
      </w:numPr>
      <w:ind w:left="567" w:hanging="567"/>
      <w:outlineLvl w:val="1"/>
    </w:pPr>
  </w:style>
  <w:style w:type="paragraph" w:styleId="Heading3">
    <w:name w:val="heading 3"/>
    <w:basedOn w:val="Normal"/>
    <w:next w:val="Normal"/>
    <w:link w:val="Heading3Char"/>
    <w:qFormat/>
    <w:rsid w:val="002D1629"/>
    <w:pPr>
      <w:numPr>
        <w:ilvl w:val="2"/>
        <w:numId w:val="1"/>
      </w:numPr>
      <w:ind w:left="567" w:hanging="567"/>
      <w:outlineLvl w:val="2"/>
    </w:pPr>
  </w:style>
  <w:style w:type="paragraph" w:styleId="Heading4">
    <w:name w:val="heading 4"/>
    <w:basedOn w:val="Normal"/>
    <w:next w:val="Normal"/>
    <w:link w:val="Heading4Char"/>
    <w:qFormat/>
    <w:rsid w:val="002D1629"/>
    <w:pPr>
      <w:numPr>
        <w:ilvl w:val="3"/>
        <w:numId w:val="1"/>
      </w:numPr>
      <w:ind w:left="567" w:hanging="567"/>
      <w:outlineLvl w:val="3"/>
    </w:pPr>
  </w:style>
  <w:style w:type="paragraph" w:styleId="Heading5">
    <w:name w:val="heading 5"/>
    <w:basedOn w:val="Normal"/>
    <w:next w:val="Normal"/>
    <w:link w:val="Heading5Char"/>
    <w:qFormat/>
    <w:rsid w:val="002D1629"/>
    <w:pPr>
      <w:numPr>
        <w:ilvl w:val="4"/>
        <w:numId w:val="1"/>
      </w:numPr>
      <w:ind w:left="567" w:hanging="567"/>
      <w:outlineLvl w:val="4"/>
    </w:pPr>
  </w:style>
  <w:style w:type="paragraph" w:styleId="Heading6">
    <w:name w:val="heading 6"/>
    <w:basedOn w:val="Normal"/>
    <w:next w:val="Normal"/>
    <w:link w:val="Heading6Char"/>
    <w:qFormat/>
    <w:rsid w:val="002D1629"/>
    <w:pPr>
      <w:numPr>
        <w:ilvl w:val="5"/>
        <w:numId w:val="1"/>
      </w:numPr>
      <w:ind w:left="567" w:hanging="567"/>
      <w:outlineLvl w:val="5"/>
    </w:pPr>
  </w:style>
  <w:style w:type="paragraph" w:styleId="Heading7">
    <w:name w:val="heading 7"/>
    <w:basedOn w:val="Normal"/>
    <w:next w:val="Normal"/>
    <w:link w:val="Heading7Char"/>
    <w:qFormat/>
    <w:rsid w:val="002D1629"/>
    <w:pPr>
      <w:numPr>
        <w:ilvl w:val="6"/>
        <w:numId w:val="1"/>
      </w:numPr>
      <w:ind w:left="567" w:hanging="567"/>
      <w:outlineLvl w:val="6"/>
    </w:pPr>
  </w:style>
  <w:style w:type="paragraph" w:styleId="Heading8">
    <w:name w:val="heading 8"/>
    <w:basedOn w:val="Normal"/>
    <w:next w:val="Normal"/>
    <w:link w:val="Heading8Char"/>
    <w:qFormat/>
    <w:rsid w:val="002D1629"/>
    <w:pPr>
      <w:numPr>
        <w:ilvl w:val="7"/>
        <w:numId w:val="1"/>
      </w:numPr>
      <w:ind w:left="567" w:hanging="567"/>
      <w:outlineLvl w:val="7"/>
    </w:pPr>
  </w:style>
  <w:style w:type="paragraph" w:styleId="Heading9">
    <w:name w:val="heading 9"/>
    <w:basedOn w:val="Normal"/>
    <w:next w:val="Normal"/>
    <w:link w:val="Heading9Char"/>
    <w:qFormat/>
    <w:rsid w:val="002D162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GB" w:eastAsia="en-GB"/>
    </w:rPr>
  </w:style>
  <w:style w:type="character" w:customStyle="1" w:styleId="Heading2Char">
    <w:name w:val="Heading 2 Char"/>
    <w:basedOn w:val="DefaultParagraphFont"/>
    <w:link w:val="Heading2"/>
    <w:rsid w:val="009D66A8"/>
    <w:rPr>
      <w:sz w:val="22"/>
      <w:szCs w:val="22"/>
      <w:lang w:val="en-GB" w:eastAsia="en-GB"/>
    </w:rPr>
  </w:style>
  <w:style w:type="character" w:customStyle="1" w:styleId="Heading3Char">
    <w:name w:val="Heading 3 Char"/>
    <w:basedOn w:val="DefaultParagraphFont"/>
    <w:link w:val="Heading3"/>
    <w:rsid w:val="009D66A8"/>
    <w:rPr>
      <w:sz w:val="22"/>
      <w:szCs w:val="22"/>
      <w:lang w:val="en-GB" w:eastAsia="en-GB"/>
    </w:rPr>
  </w:style>
  <w:style w:type="character" w:customStyle="1" w:styleId="Heading4Char">
    <w:name w:val="Heading 4 Char"/>
    <w:basedOn w:val="DefaultParagraphFont"/>
    <w:link w:val="Heading4"/>
    <w:rsid w:val="009D66A8"/>
    <w:rPr>
      <w:sz w:val="22"/>
      <w:szCs w:val="22"/>
      <w:lang w:val="en-GB" w:eastAsia="en-GB"/>
    </w:rPr>
  </w:style>
  <w:style w:type="character" w:customStyle="1" w:styleId="Heading5Char">
    <w:name w:val="Heading 5 Char"/>
    <w:basedOn w:val="DefaultParagraphFont"/>
    <w:link w:val="Heading5"/>
    <w:rsid w:val="009D66A8"/>
    <w:rPr>
      <w:sz w:val="22"/>
      <w:szCs w:val="22"/>
      <w:lang w:val="en-GB" w:eastAsia="en-GB"/>
    </w:rPr>
  </w:style>
  <w:style w:type="character" w:customStyle="1" w:styleId="Heading6Char">
    <w:name w:val="Heading 6 Char"/>
    <w:basedOn w:val="DefaultParagraphFont"/>
    <w:link w:val="Heading6"/>
    <w:rsid w:val="009D66A8"/>
    <w:rPr>
      <w:sz w:val="22"/>
      <w:szCs w:val="22"/>
      <w:lang w:val="en-GB" w:eastAsia="en-GB"/>
    </w:rPr>
  </w:style>
  <w:style w:type="character" w:customStyle="1" w:styleId="Heading7Char">
    <w:name w:val="Heading 7 Char"/>
    <w:basedOn w:val="DefaultParagraphFont"/>
    <w:link w:val="Heading7"/>
    <w:rsid w:val="009D66A8"/>
    <w:rPr>
      <w:sz w:val="22"/>
      <w:szCs w:val="22"/>
      <w:lang w:val="en-GB" w:eastAsia="en-GB"/>
    </w:rPr>
  </w:style>
  <w:style w:type="character" w:customStyle="1" w:styleId="Heading8Char">
    <w:name w:val="Heading 8 Char"/>
    <w:basedOn w:val="DefaultParagraphFont"/>
    <w:link w:val="Heading8"/>
    <w:rsid w:val="009D66A8"/>
    <w:rPr>
      <w:sz w:val="22"/>
      <w:szCs w:val="22"/>
      <w:lang w:val="en-GB" w:eastAsia="en-GB"/>
    </w:rPr>
  </w:style>
  <w:style w:type="character" w:customStyle="1" w:styleId="Heading9Char">
    <w:name w:val="Heading 9 Char"/>
    <w:basedOn w:val="DefaultParagraphFont"/>
    <w:link w:val="Heading9"/>
    <w:rsid w:val="009D66A8"/>
    <w:rPr>
      <w:sz w:val="22"/>
      <w:szCs w:val="22"/>
      <w:lang w:val="en-GB" w:eastAsia="en-GB"/>
    </w:rPr>
  </w:style>
  <w:style w:type="paragraph" w:styleId="Footer">
    <w:name w:val="footer"/>
    <w:basedOn w:val="Normal"/>
    <w:link w:val="FooterChar"/>
    <w:qFormat/>
    <w:rsid w:val="002D1629"/>
  </w:style>
  <w:style w:type="character" w:customStyle="1" w:styleId="FooterChar">
    <w:name w:val="Footer Char"/>
    <w:basedOn w:val="DefaultParagraphFont"/>
    <w:link w:val="Footer"/>
    <w:rsid w:val="009D66A8"/>
    <w:rPr>
      <w:sz w:val="22"/>
      <w:szCs w:val="22"/>
      <w:lang w:val="en-GB" w:eastAsia="en-GB"/>
    </w:rPr>
  </w:style>
  <w:style w:type="paragraph" w:styleId="FootnoteText">
    <w:name w:val="footnote text"/>
    <w:aliases w:val="AF Fußnotentext,Fußnote,Footnote,fn,Footnote Text Char1,Footnote Text Char Char,FOOTNOTES,single space,footnote text,Fußnotentext Char,Footnote Text Char Char1,Footnote Text Char Char Char,FOOTNOTES Char Char,fn Char Char,Char Char2"/>
    <w:basedOn w:val="Normal"/>
    <w:link w:val="FootnoteTextChar"/>
    <w:qFormat/>
    <w:rsid w:val="002D1629"/>
    <w:pPr>
      <w:keepLines/>
      <w:spacing w:after="60" w:line="240" w:lineRule="auto"/>
      <w:ind w:left="567" w:hanging="567"/>
    </w:pPr>
    <w:rPr>
      <w:sz w:val="16"/>
    </w:rPr>
  </w:style>
  <w:style w:type="character" w:customStyle="1" w:styleId="FootnoteTextChar">
    <w:name w:val="Footnote Text Char"/>
    <w:aliases w:val="AF Fußnotentext Char,Fußnote Char,Footnote Char,fn Char,Footnote Text Char1 Char,Footnote Text Char Char Char1,FOOTNOTES Char,single space Char,footnote text Char,Fußnotentext Char Char,Footnote Text Char Char1 Char,fn Char Char Char"/>
    <w:basedOn w:val="DefaultParagraphFont"/>
    <w:link w:val="FootnoteText"/>
    <w:rsid w:val="009D66A8"/>
    <w:rPr>
      <w:sz w:val="16"/>
      <w:szCs w:val="22"/>
      <w:lang w:val="en-GB" w:eastAsia="en-GB"/>
    </w:rPr>
  </w:style>
  <w:style w:type="paragraph" w:styleId="Header">
    <w:name w:val="header"/>
    <w:basedOn w:val="Normal"/>
    <w:link w:val="HeaderChar"/>
    <w:qFormat/>
    <w:rsid w:val="002D1629"/>
  </w:style>
  <w:style w:type="character" w:customStyle="1" w:styleId="HeaderChar">
    <w:name w:val="Header Char"/>
    <w:basedOn w:val="DefaultParagraphFont"/>
    <w:link w:val="Header"/>
    <w:rsid w:val="009D66A8"/>
    <w:rPr>
      <w:sz w:val="22"/>
      <w:szCs w:val="22"/>
      <w:lang w:val="en-GB" w:eastAsia="en-GB"/>
    </w:rPr>
  </w:style>
  <w:style w:type="paragraph" w:customStyle="1" w:styleId="quotes">
    <w:name w:val="quotes"/>
    <w:basedOn w:val="Normal"/>
    <w:next w:val="Normal"/>
    <w:rsid w:val="002D162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Ref"/>
    <w:basedOn w:val="DefaultParagraphFont"/>
    <w:unhideWhenUsed/>
    <w:qFormat/>
    <w:rsid w:val="002D1629"/>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2D16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D1629"/>
    <w:rPr>
      <w:rFonts w:ascii="Tahoma" w:hAnsi="Tahoma" w:cs="Tahoma"/>
      <w:sz w:val="16"/>
      <w:szCs w:val="16"/>
      <w:lang w:val="en-GB" w:eastAsia="en-GB"/>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29"/>
    <w:pPr>
      <w:spacing w:line="288" w:lineRule="auto"/>
      <w:jc w:val="both"/>
    </w:pPr>
    <w:rPr>
      <w:sz w:val="22"/>
      <w:szCs w:val="22"/>
    </w:rPr>
  </w:style>
  <w:style w:type="paragraph" w:styleId="Heading1">
    <w:name w:val="heading 1"/>
    <w:basedOn w:val="Normal"/>
    <w:next w:val="Normal"/>
    <w:link w:val="Heading1Char"/>
    <w:qFormat/>
    <w:rsid w:val="002D1629"/>
    <w:pPr>
      <w:numPr>
        <w:numId w:val="1"/>
      </w:numPr>
      <w:ind w:left="567" w:hanging="567"/>
      <w:outlineLvl w:val="0"/>
    </w:pPr>
    <w:rPr>
      <w:kern w:val="28"/>
    </w:rPr>
  </w:style>
  <w:style w:type="paragraph" w:styleId="Heading2">
    <w:name w:val="heading 2"/>
    <w:basedOn w:val="Normal"/>
    <w:next w:val="Normal"/>
    <w:link w:val="Heading2Char"/>
    <w:qFormat/>
    <w:rsid w:val="002D1629"/>
    <w:pPr>
      <w:numPr>
        <w:ilvl w:val="1"/>
        <w:numId w:val="1"/>
      </w:numPr>
      <w:ind w:left="567" w:hanging="567"/>
      <w:outlineLvl w:val="1"/>
    </w:pPr>
  </w:style>
  <w:style w:type="paragraph" w:styleId="Heading3">
    <w:name w:val="heading 3"/>
    <w:basedOn w:val="Normal"/>
    <w:next w:val="Normal"/>
    <w:link w:val="Heading3Char"/>
    <w:qFormat/>
    <w:rsid w:val="002D1629"/>
    <w:pPr>
      <w:numPr>
        <w:ilvl w:val="2"/>
        <w:numId w:val="1"/>
      </w:numPr>
      <w:ind w:left="567" w:hanging="567"/>
      <w:outlineLvl w:val="2"/>
    </w:pPr>
  </w:style>
  <w:style w:type="paragraph" w:styleId="Heading4">
    <w:name w:val="heading 4"/>
    <w:basedOn w:val="Normal"/>
    <w:next w:val="Normal"/>
    <w:link w:val="Heading4Char"/>
    <w:qFormat/>
    <w:rsid w:val="002D1629"/>
    <w:pPr>
      <w:numPr>
        <w:ilvl w:val="3"/>
        <w:numId w:val="1"/>
      </w:numPr>
      <w:ind w:left="567" w:hanging="567"/>
      <w:outlineLvl w:val="3"/>
    </w:pPr>
  </w:style>
  <w:style w:type="paragraph" w:styleId="Heading5">
    <w:name w:val="heading 5"/>
    <w:basedOn w:val="Normal"/>
    <w:next w:val="Normal"/>
    <w:link w:val="Heading5Char"/>
    <w:qFormat/>
    <w:rsid w:val="002D1629"/>
    <w:pPr>
      <w:numPr>
        <w:ilvl w:val="4"/>
        <w:numId w:val="1"/>
      </w:numPr>
      <w:ind w:left="567" w:hanging="567"/>
      <w:outlineLvl w:val="4"/>
    </w:pPr>
  </w:style>
  <w:style w:type="paragraph" w:styleId="Heading6">
    <w:name w:val="heading 6"/>
    <w:basedOn w:val="Normal"/>
    <w:next w:val="Normal"/>
    <w:link w:val="Heading6Char"/>
    <w:qFormat/>
    <w:rsid w:val="002D1629"/>
    <w:pPr>
      <w:numPr>
        <w:ilvl w:val="5"/>
        <w:numId w:val="1"/>
      </w:numPr>
      <w:ind w:left="567" w:hanging="567"/>
      <w:outlineLvl w:val="5"/>
    </w:pPr>
  </w:style>
  <w:style w:type="paragraph" w:styleId="Heading7">
    <w:name w:val="heading 7"/>
    <w:basedOn w:val="Normal"/>
    <w:next w:val="Normal"/>
    <w:link w:val="Heading7Char"/>
    <w:qFormat/>
    <w:rsid w:val="002D1629"/>
    <w:pPr>
      <w:numPr>
        <w:ilvl w:val="6"/>
        <w:numId w:val="1"/>
      </w:numPr>
      <w:ind w:left="567" w:hanging="567"/>
      <w:outlineLvl w:val="6"/>
    </w:pPr>
  </w:style>
  <w:style w:type="paragraph" w:styleId="Heading8">
    <w:name w:val="heading 8"/>
    <w:basedOn w:val="Normal"/>
    <w:next w:val="Normal"/>
    <w:link w:val="Heading8Char"/>
    <w:qFormat/>
    <w:rsid w:val="002D1629"/>
    <w:pPr>
      <w:numPr>
        <w:ilvl w:val="7"/>
        <w:numId w:val="1"/>
      </w:numPr>
      <w:ind w:left="567" w:hanging="567"/>
      <w:outlineLvl w:val="7"/>
    </w:pPr>
  </w:style>
  <w:style w:type="paragraph" w:styleId="Heading9">
    <w:name w:val="heading 9"/>
    <w:basedOn w:val="Normal"/>
    <w:next w:val="Normal"/>
    <w:link w:val="Heading9Char"/>
    <w:qFormat/>
    <w:rsid w:val="002D162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GB" w:eastAsia="en-GB"/>
    </w:rPr>
  </w:style>
  <w:style w:type="character" w:customStyle="1" w:styleId="Heading2Char">
    <w:name w:val="Heading 2 Char"/>
    <w:basedOn w:val="DefaultParagraphFont"/>
    <w:link w:val="Heading2"/>
    <w:rsid w:val="009D66A8"/>
    <w:rPr>
      <w:sz w:val="22"/>
      <w:szCs w:val="22"/>
      <w:lang w:val="en-GB" w:eastAsia="en-GB"/>
    </w:rPr>
  </w:style>
  <w:style w:type="character" w:customStyle="1" w:styleId="Heading3Char">
    <w:name w:val="Heading 3 Char"/>
    <w:basedOn w:val="DefaultParagraphFont"/>
    <w:link w:val="Heading3"/>
    <w:rsid w:val="009D66A8"/>
    <w:rPr>
      <w:sz w:val="22"/>
      <w:szCs w:val="22"/>
      <w:lang w:val="en-GB" w:eastAsia="en-GB"/>
    </w:rPr>
  </w:style>
  <w:style w:type="character" w:customStyle="1" w:styleId="Heading4Char">
    <w:name w:val="Heading 4 Char"/>
    <w:basedOn w:val="DefaultParagraphFont"/>
    <w:link w:val="Heading4"/>
    <w:rsid w:val="009D66A8"/>
    <w:rPr>
      <w:sz w:val="22"/>
      <w:szCs w:val="22"/>
      <w:lang w:val="en-GB" w:eastAsia="en-GB"/>
    </w:rPr>
  </w:style>
  <w:style w:type="character" w:customStyle="1" w:styleId="Heading5Char">
    <w:name w:val="Heading 5 Char"/>
    <w:basedOn w:val="DefaultParagraphFont"/>
    <w:link w:val="Heading5"/>
    <w:rsid w:val="009D66A8"/>
    <w:rPr>
      <w:sz w:val="22"/>
      <w:szCs w:val="22"/>
      <w:lang w:val="en-GB" w:eastAsia="en-GB"/>
    </w:rPr>
  </w:style>
  <w:style w:type="character" w:customStyle="1" w:styleId="Heading6Char">
    <w:name w:val="Heading 6 Char"/>
    <w:basedOn w:val="DefaultParagraphFont"/>
    <w:link w:val="Heading6"/>
    <w:rsid w:val="009D66A8"/>
    <w:rPr>
      <w:sz w:val="22"/>
      <w:szCs w:val="22"/>
      <w:lang w:val="en-GB" w:eastAsia="en-GB"/>
    </w:rPr>
  </w:style>
  <w:style w:type="character" w:customStyle="1" w:styleId="Heading7Char">
    <w:name w:val="Heading 7 Char"/>
    <w:basedOn w:val="DefaultParagraphFont"/>
    <w:link w:val="Heading7"/>
    <w:rsid w:val="009D66A8"/>
    <w:rPr>
      <w:sz w:val="22"/>
      <w:szCs w:val="22"/>
      <w:lang w:val="en-GB" w:eastAsia="en-GB"/>
    </w:rPr>
  </w:style>
  <w:style w:type="character" w:customStyle="1" w:styleId="Heading8Char">
    <w:name w:val="Heading 8 Char"/>
    <w:basedOn w:val="DefaultParagraphFont"/>
    <w:link w:val="Heading8"/>
    <w:rsid w:val="009D66A8"/>
    <w:rPr>
      <w:sz w:val="22"/>
      <w:szCs w:val="22"/>
      <w:lang w:val="en-GB" w:eastAsia="en-GB"/>
    </w:rPr>
  </w:style>
  <w:style w:type="character" w:customStyle="1" w:styleId="Heading9Char">
    <w:name w:val="Heading 9 Char"/>
    <w:basedOn w:val="DefaultParagraphFont"/>
    <w:link w:val="Heading9"/>
    <w:rsid w:val="009D66A8"/>
    <w:rPr>
      <w:sz w:val="22"/>
      <w:szCs w:val="22"/>
      <w:lang w:val="en-GB" w:eastAsia="en-GB"/>
    </w:rPr>
  </w:style>
  <w:style w:type="paragraph" w:styleId="Footer">
    <w:name w:val="footer"/>
    <w:basedOn w:val="Normal"/>
    <w:link w:val="FooterChar"/>
    <w:qFormat/>
    <w:rsid w:val="002D1629"/>
  </w:style>
  <w:style w:type="character" w:customStyle="1" w:styleId="FooterChar">
    <w:name w:val="Footer Char"/>
    <w:basedOn w:val="DefaultParagraphFont"/>
    <w:link w:val="Footer"/>
    <w:rsid w:val="009D66A8"/>
    <w:rPr>
      <w:sz w:val="22"/>
      <w:szCs w:val="22"/>
      <w:lang w:val="en-GB" w:eastAsia="en-GB"/>
    </w:rPr>
  </w:style>
  <w:style w:type="paragraph" w:styleId="FootnoteText">
    <w:name w:val="footnote text"/>
    <w:aliases w:val="AF Fußnotentext,Fußnote,Footnote,fn,Footnote Text Char1,Footnote Text Char Char,FOOTNOTES,single space,footnote text,Fußnotentext Char,Footnote Text Char Char1,Footnote Text Char Char Char,FOOTNOTES Char Char,fn Char Char,Char Char2"/>
    <w:basedOn w:val="Normal"/>
    <w:link w:val="FootnoteTextChar"/>
    <w:qFormat/>
    <w:rsid w:val="002D1629"/>
    <w:pPr>
      <w:keepLines/>
      <w:spacing w:after="60" w:line="240" w:lineRule="auto"/>
      <w:ind w:left="567" w:hanging="567"/>
    </w:pPr>
    <w:rPr>
      <w:sz w:val="16"/>
    </w:rPr>
  </w:style>
  <w:style w:type="character" w:customStyle="1" w:styleId="FootnoteTextChar">
    <w:name w:val="Footnote Text Char"/>
    <w:aliases w:val="AF Fußnotentext Char,Fußnote Char,Footnote Char,fn Char,Footnote Text Char1 Char,Footnote Text Char Char Char1,FOOTNOTES Char,single space Char,footnote text Char,Fußnotentext Char Char,Footnote Text Char Char1 Char,fn Char Char Char"/>
    <w:basedOn w:val="DefaultParagraphFont"/>
    <w:link w:val="FootnoteText"/>
    <w:rsid w:val="009D66A8"/>
    <w:rPr>
      <w:sz w:val="16"/>
      <w:szCs w:val="22"/>
      <w:lang w:val="en-GB" w:eastAsia="en-GB"/>
    </w:rPr>
  </w:style>
  <w:style w:type="paragraph" w:styleId="Header">
    <w:name w:val="header"/>
    <w:basedOn w:val="Normal"/>
    <w:link w:val="HeaderChar"/>
    <w:qFormat/>
    <w:rsid w:val="002D1629"/>
  </w:style>
  <w:style w:type="character" w:customStyle="1" w:styleId="HeaderChar">
    <w:name w:val="Header Char"/>
    <w:basedOn w:val="DefaultParagraphFont"/>
    <w:link w:val="Header"/>
    <w:rsid w:val="009D66A8"/>
    <w:rPr>
      <w:sz w:val="22"/>
      <w:szCs w:val="22"/>
      <w:lang w:val="en-GB" w:eastAsia="en-GB"/>
    </w:rPr>
  </w:style>
  <w:style w:type="paragraph" w:customStyle="1" w:styleId="quotes">
    <w:name w:val="quotes"/>
    <w:basedOn w:val="Normal"/>
    <w:next w:val="Normal"/>
    <w:rsid w:val="002D162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Ref"/>
    <w:basedOn w:val="DefaultParagraphFont"/>
    <w:unhideWhenUsed/>
    <w:qFormat/>
    <w:rsid w:val="002D1629"/>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2D16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D1629"/>
    <w:rPr>
      <w:rFonts w:ascii="Tahoma" w:hAnsi="Tahoma" w:cs="Tahoma"/>
      <w:sz w:val="16"/>
      <w:szCs w:val="16"/>
      <w:lang w:val="en-GB" w:eastAsia="en-GB"/>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mportal.cor.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portal.cor.europa.eu/"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H6KF3DZUJANF-7-3087</_dlc_DocId>
    <_dlc_DocIdUrl xmlns="37f9acf0-bf35-44c8-9f53-e67291d19401">
      <Url>http://dm/CoR/2017/_layouts/DocIdRedir.aspx?ID=H6KF3DZUJANF-7-3087</Url>
      <Description>H6KF3DZUJANF-7-3087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37f9acf0-bf35-44c8-9f53-e67291d19401">2017/0100(NLE)</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2017-09-05T12:00:00+00:00</ProductionDate>
    <FicheYear xmlns="37f9acf0-bf35-44c8-9f53-e67291d19401">2017</FicheYear>
    <DocumentNumber xmlns="3e561d35-f829-43b1-a920-d87d2c241fb9">3139</DocumentNumber>
    <DocumentVersion xmlns="37f9acf0-bf35-44c8-9f53-e67291d19401">0</DocumentVersion>
    <DossierNumber xmlns="37f9acf0-bf35-44c8-9f53-e67291d19401">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2017-09-28T12:00:00+00:00</MeetingDate>
    <TaxCatchAll xmlns="37f9acf0-bf35-44c8-9f53-e67291d19401">
      <Value>22</Value>
      <Value>19</Value>
      <Value>38</Value>
      <Value>37</Value>
      <Value>12</Value>
      <Value>10</Value>
      <Value>6</Value>
      <Value>7</Value>
      <Value>29</Value>
      <Value>48</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7316</FicheNumber>
    <DocumentYear xmlns="37f9acf0-bf35-44c8-9f53-e67291d19401">2017</DocumentYear>
    <DocumentPart xmlns="37f9acf0-bf35-44c8-9f53-e67291d19401">0</DocumentPart>
    <AdoptionDate xmlns="37f9acf0-bf35-44c8-9f53-e67291d19401" xsi:nil="true"/>
    <RequestingService xmlns="37f9acf0-bf35-44c8-9f53-e67291d19401">Commission SEDEC</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9dc7ca8b-742b-490e-a49f-907d997f3e13</TermId>
        </TermInfo>
      </Term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MeetingNumber xmlns="3e561d35-f829-43b1-a920-d87d2c241fb9">15</Meeting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4" ma:contentTypeDescription="Defines the documents for Document Manager V2" ma:contentTypeScope="" ma:versionID="98c54254ed078e1d6b2a61394e33d756">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d9e8a5ef7e59398be864f9f662541bdc"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7025-44D5-4895-BCD7-DD316C967FAA}"/>
</file>

<file path=customXml/itemProps2.xml><?xml version="1.0" encoding="utf-8"?>
<ds:datastoreItem xmlns:ds="http://schemas.openxmlformats.org/officeDocument/2006/customXml" ds:itemID="{72846CA1-4A0B-4E2F-9728-D5B54CF30F69}"/>
</file>

<file path=customXml/itemProps3.xml><?xml version="1.0" encoding="utf-8"?>
<ds:datastoreItem xmlns:ds="http://schemas.openxmlformats.org/officeDocument/2006/customXml" ds:itemID="{C09A8CC7-46F0-4E92-8359-9DC59C986F36}"/>
</file>

<file path=customXml/itemProps4.xml><?xml version="1.0" encoding="utf-8"?>
<ds:datastoreItem xmlns:ds="http://schemas.openxmlformats.org/officeDocument/2006/customXml" ds:itemID="{0D2457F7-59CB-4896-B431-B05995296B29}"/>
</file>

<file path=docProps/app.xml><?xml version="1.0" encoding="utf-8"?>
<Properties xmlns="http://schemas.openxmlformats.org/officeDocument/2006/extended-properties" xmlns:vt="http://schemas.openxmlformats.org/officeDocument/2006/docPropsVTypes">
  <Template>Styles.dotm</Template>
  <TotalTime>1</TotalTime>
  <Pages>4</Pages>
  <Words>2943</Words>
  <Characters>16688</Characters>
  <Application>Microsoft Office Word</Application>
  <DocSecurity>0</DocSecurity>
  <Lines>417</Lines>
  <Paragraphs>160</Paragraphs>
  <ScaleCrop>false</ScaleCrop>
  <HeadingPairs>
    <vt:vector size="2" baseType="variant">
      <vt:variant>
        <vt:lpstr>Title</vt:lpstr>
      </vt:variant>
      <vt:variant>
        <vt:i4>1</vt:i4>
      </vt:variant>
    </vt:vector>
  </HeadingPairs>
  <TitlesOfParts>
    <vt:vector size="1" baseType="lpstr">
      <vt:lpstr>CoR PA model</vt:lpstr>
    </vt:vector>
  </TitlesOfParts>
  <Company>CESE-CdR</Company>
  <LinksUpToDate>false</LinksUpToDate>
  <CharactersWithSpaces>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school and higher education</dc:title>
  <dc:subject>Draft opinion</dc:subject>
  <dc:creator/>
  <cp:keywords>COR-2017-03139-00-00-PA-TRA-EN</cp:keywords>
  <dc:description>Rapporteur: BORBOLY_x000d_
Original language: EN, HU_x000d_
Date of document: 05/09/2017_x000d_
Date of meeting: 28/09/2017_x000d_
External documents: COM(2017)248-final, COM(2017)249-final, COM(2017)247-final_x000d_
Administrator responsible: Hobjila Doru-Iulian, telephone: + 2 282 2064_x000d_
_x000d_
Abstract:</dc:description>
  <cp:lastModifiedBy>Nuala McGinley</cp:lastModifiedBy>
  <cp:revision>4</cp:revision>
  <cp:lastPrinted>2017-08-29T09:00:00Z</cp:lastPrinted>
  <dcterms:created xsi:type="dcterms:W3CDTF">2017-09-05T16:10:00Z</dcterms:created>
  <dcterms:modified xsi:type="dcterms:W3CDTF">2017-09-05T16:13:00Z</dcterms:modified>
  <cp:category>SEDEC-VI/029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vent date">
    <vt:lpwstr/>
  </property>
  <property fmtid="{D5CDD505-2E9C-101B-9397-08002B2CF9AE}" pid="3" name="Year">
    <vt:lpwstr/>
  </property>
  <property fmtid="{D5CDD505-2E9C-101B-9397-08002B2CF9AE}" pid="4" name="Domain New">
    <vt:lpwstr>IT tools related documents</vt:lpwstr>
  </property>
  <property fmtid="{D5CDD505-2E9C-101B-9397-08002B2CF9AE}" pid="5" name="Subdomain New">
    <vt:lpwstr>Ariane</vt:lpwstr>
  </property>
  <property fmtid="{D5CDD505-2E9C-101B-9397-08002B2CF9AE}" pid="6" name="ContentTypeId">
    <vt:lpwstr>0x010100EA97B91038054C99906057A708A1480A00F838E068BD3285428F1243653A167161</vt:lpwstr>
  </property>
  <property fmtid="{D5CDD505-2E9C-101B-9397-08002B2CF9AE}" pid="7" name="Pref_formatted">
    <vt:bool>true</vt:bool>
  </property>
  <property fmtid="{D5CDD505-2E9C-101B-9397-08002B2CF9AE}" pid="8" name="Pref_Date">
    <vt:lpwstr>29/08/2017</vt:lpwstr>
  </property>
  <property fmtid="{D5CDD505-2E9C-101B-9397-08002B2CF9AE}" pid="9" name="Pref_Time">
    <vt:lpwstr>15:31:02</vt:lpwstr>
  </property>
  <property fmtid="{D5CDD505-2E9C-101B-9397-08002B2CF9AE}" pid="10" name="Pref_User">
    <vt:lpwstr>enied</vt:lpwstr>
  </property>
  <property fmtid="{D5CDD505-2E9C-101B-9397-08002B2CF9AE}" pid="11" name="Pref_FileName">
    <vt:lpwstr>COR-2017-03139-00-00-PA-TRA-HU-CRR.docx</vt:lpwstr>
  </property>
  <property fmtid="{D5CDD505-2E9C-101B-9397-08002B2CF9AE}" pid="12" name="_dlc_DocIdItemGuid">
    <vt:lpwstr>40a3b450-f5cc-4163-967f-2307d3fc9ceb</vt:lpwstr>
  </property>
  <property fmtid="{D5CDD505-2E9C-101B-9397-08002B2CF9AE}" pid="13" name="MeetingNumber">
    <vt:i4>15</vt:i4>
  </property>
  <property fmtid="{D5CDD505-2E9C-101B-9397-08002B2CF9AE}" pid="14" name="DocumentType_0">
    <vt:lpwstr>PA|ef6fd07e-7d84-45ad-8a75-9a9414a8759c</vt:lpwstr>
  </property>
  <property fmtid="{D5CDD505-2E9C-101B-9397-08002B2CF9AE}" pid="15" name="Procedure">
    <vt:lpwstr>2017/0100(NLE)</vt:lpwstr>
  </property>
  <property fmtid="{D5CDD505-2E9C-101B-9397-08002B2CF9AE}" pid="16" name="AvailableTranslations">
    <vt:lpwstr>4;#FR|d2afafd3-4c81-4f60-8f52-ee33f2f54ff3;#12;#EN|f2175f21-25d7-44a3-96da-d6a61b075e1b;#7;#IT|0774613c-01ed-4e5d-a25d-11d2388de825;#37;#SK|46d9fce0-ef79-4f71-b89b-cd6aa82426b8;#29;#HU|6b229040-c589-4408-b4c1-4285663d20a8;#38;#ES|e7a6b05b-ae16-40c8-add9-68b64b03aeba</vt:lpwstr>
  </property>
  <property fmtid="{D5CDD505-2E9C-101B-9397-08002B2CF9AE}" pid="17" name="DossierName_0">
    <vt:lpwstr>SEDEC-VI|f06eb240-9dba-4299-813c-b6d38e9a15c0</vt:lpwstr>
  </property>
  <property fmtid="{D5CDD505-2E9C-101B-9397-08002B2CF9AE}" pid="18" name="DocumentSource_0">
    <vt:lpwstr>CoR|cb2d75ef-4a7d-4393-b797-49ed6298a5ea</vt:lpwstr>
  </property>
  <property fmtid="{D5CDD505-2E9C-101B-9397-08002B2CF9AE}" pid="19" name="FicheYear">
    <vt:i4>2017</vt:i4>
  </property>
  <property fmtid="{D5CDD505-2E9C-101B-9397-08002B2CF9AE}" pid="20" name="DocumentNumber">
    <vt:i4>3139</vt:i4>
  </property>
  <property fmtid="{D5CDD505-2E9C-101B-9397-08002B2CF9AE}" pid="21" name="DocumentVersion">
    <vt:i4>0</vt:i4>
  </property>
  <property fmtid="{D5CDD505-2E9C-101B-9397-08002B2CF9AE}" pid="22" name="DossierNumber">
    <vt:i4>29</vt:i4>
  </property>
  <property fmtid="{D5CDD505-2E9C-101B-9397-08002B2CF9AE}" pid="23" name="DocumentStatus">
    <vt:lpwstr>2;#TRA|150d2a88-1431-44e6-a8ca-0bb753ab8672</vt:lpwstr>
  </property>
  <property fmtid="{D5CDD505-2E9C-101B-9397-08002B2CF9AE}" pid="24" name="DossierName">
    <vt:lpwstr>19;#SEDEC-VI|f06eb240-9dba-4299-813c-b6d38e9a15c0</vt:lpwstr>
  </property>
  <property fmtid="{D5CDD505-2E9C-101B-9397-08002B2CF9AE}" pid="25" name="RequestingService">
    <vt:lpwstr>Commission SEDEC</vt:lpwstr>
  </property>
  <property fmtid="{D5CDD505-2E9C-101B-9397-08002B2CF9AE}" pid="26" name="Confidentiality">
    <vt:lpwstr>10;#Unrestricted|826e22d7-d029-4ec0-a450-0c28ff673572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SEDEC-VI|9dc7ca8b-742b-490e-a49f-907d997f3e13</vt:lpwstr>
  </property>
  <property fmtid="{D5CDD505-2E9C-101B-9397-08002B2CF9AE}" pid="29" name="OriginalLanguage">
    <vt:lpwstr>12;#EN|f2175f21-25d7-44a3-96da-d6a61b075e1b;#29;#HU|6b229040-c589-4408-b4c1-4285663d20a8</vt:lpwstr>
  </property>
  <property fmtid="{D5CDD505-2E9C-101B-9397-08002B2CF9AE}" pid="30" name="MeetingName">
    <vt:lpwstr>22;#SEDEC-VI|9dc7ca8b-742b-490e-a49f-907d997f3e13</vt:lpwstr>
  </property>
  <property fmtid="{D5CDD505-2E9C-101B-9397-08002B2CF9AE}" pid="31" name="DocumentStatus_0">
    <vt:lpwstr>TRA|150d2a88-1431-44e6-a8ca-0bb753ab8672</vt:lpwstr>
  </property>
  <property fmtid="{D5CDD505-2E9C-101B-9397-08002B2CF9AE}" pid="32" name="OriginalLanguage_0">
    <vt:lpwstr>EN|f2175f21-25d7-44a3-96da-d6a61b075e1b;HU|6b229040-c589-4408-b4c1-4285663d20a8</vt:lpwstr>
  </property>
  <property fmtid="{D5CDD505-2E9C-101B-9397-08002B2CF9AE}" pid="33" name="MeetingDate">
    <vt:filetime>2017-09-28T12:00:00Z</vt:filetime>
  </property>
  <property fmtid="{D5CDD505-2E9C-101B-9397-08002B2CF9AE}" pid="34" name="TaxCatchAll">
    <vt:lpwstr>22;#SEDEC-VI|9dc7ca8b-742b-490e-a49f-907d997f3e13;#19;#SEDEC-VI|f06eb240-9dba-4299-813c-b6d38e9a15c0;#38;#ES|e7a6b05b-ae16-40c8-add9-68b64b03aeba;#37;#SK|46d9fce0-ef79-4f71-b89b-cd6aa82426b8;#12;#EN|f2175f21-25d7-44a3-96da-d6a61b075e1b;#10;#Unrestricted|826e22d7-d029-4ec0-a450-0c28ff673572;#6;#Final|ea5e6674-7b27-4bac-b091-73adbb394efe;#7;#IT|0774613c-01ed-4e5d-a25d-11d2388de825;#29;#HU|6b229040-c589-4408-b4c1-4285663d20a8;#48;#PA|ef6fd07e-7d84-45ad-8a75-9a9414a8759c;#4;#FR|d2afafd3-4c81-4f60-8f52-ee33f2f54ff3;#2;#TRA|150d2a88-1431-44e6-a8ca-0bb753ab8672;#1;#CoR|cb2d75ef-4a7d-4393-b797-49ed6298a5ea</vt:lpwstr>
  </property>
  <property fmtid="{D5CDD505-2E9C-101B-9397-08002B2CF9AE}" pid="35" name="AvailableTranslations_0">
    <vt:lpwstr>FR|d2afafd3-4c81-4f60-8f52-ee33f2f54ff3;IT|0774613c-01ed-4e5d-a25d-11d2388de825;SK|46d9fce0-ef79-4f71-b89b-cd6aa82426b8;HU|6b229040-c589-4408-b4c1-4285663d20a8;ES|e7a6b05b-ae16-40c8-add9-68b64b03aeba</vt:lpwstr>
  </property>
  <property fmtid="{D5CDD505-2E9C-101B-9397-08002B2CF9AE}" pid="36" name="VersionStatus">
    <vt:lpwstr>6;#Final|ea5e6674-7b27-4bac-b091-73adbb394efe</vt:lpwstr>
  </property>
  <property fmtid="{D5CDD505-2E9C-101B-9397-08002B2CF9AE}" pid="37" name="Rapporteur">
    <vt:lpwstr>BORBOLY</vt:lpwstr>
  </property>
  <property fmtid="{D5CDD505-2E9C-101B-9397-08002B2CF9AE}" pid="38" name="VersionStatus_0">
    <vt:lpwstr>Final|ea5e6674-7b27-4bac-b091-73adbb394efe</vt:lpwstr>
  </property>
  <property fmtid="{D5CDD505-2E9C-101B-9397-08002B2CF9AE}" pid="39" name="FicheNumber">
    <vt:i4>7316</vt:i4>
  </property>
  <property fmtid="{D5CDD505-2E9C-101B-9397-08002B2CF9AE}" pid="40" name="DocumentYear">
    <vt:i4>2017</vt:i4>
  </property>
  <property fmtid="{D5CDD505-2E9C-101B-9397-08002B2CF9AE}" pid="41" name="DocumentSource">
    <vt:lpwstr>1;#CoR|cb2d75ef-4a7d-4393-b797-49ed6298a5ea</vt:lpwstr>
  </property>
  <property fmtid="{D5CDD505-2E9C-101B-9397-08002B2CF9AE}" pid="42" name="DocumentType">
    <vt:lpwstr>48;#PA|ef6fd07e-7d84-45ad-8a75-9a9414a8759c</vt:lpwstr>
  </property>
  <property fmtid="{D5CDD505-2E9C-101B-9397-08002B2CF9AE}" pid="43" name="DocumentPart">
    <vt:i4>0</vt:i4>
  </property>
  <property fmtid="{D5CDD505-2E9C-101B-9397-08002B2CF9AE}" pid="44" name="DocumentLanguage">
    <vt:lpwstr>12;#EN|f2175f21-25d7-44a3-96da-d6a61b075e1b</vt:lpwstr>
  </property>
  <property fmtid="{D5CDD505-2E9C-101B-9397-08002B2CF9AE}" pid="45" name="DocumentLanguage_0">
    <vt:lpwstr>FR|d2afafd3-4c81-4f60-8f52-ee33f2f54ff3</vt:lpwstr>
  </property>
</Properties>
</file>