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4645"/>
      </w:tblGrid>
      <w:tr w:rsidR="0013768F" w:rsidRPr="00EC3E49" w14:paraId="24ADCFCA" w14:textId="77777777" w:rsidTr="002420B8">
        <w:tc>
          <w:tcPr>
            <w:tcW w:w="4644" w:type="dxa"/>
          </w:tcPr>
          <w:p w14:paraId="05717E4E" w14:textId="1EB5173C" w:rsidR="0013768F" w:rsidRPr="00EC3E49" w:rsidRDefault="00747A29" w:rsidP="002420B8">
            <w:r>
              <w:rPr>
                <w:noProof/>
                <w:sz w:val="20"/>
                <w:lang w:val="en-US"/>
              </w:rPr>
              <mc:AlternateContent>
                <mc:Choice Requires="wps">
                  <w:drawing>
                    <wp:anchor distT="0" distB="0" distL="114300" distR="114300" simplePos="0" relativeHeight="251658240" behindDoc="1" locked="0" layoutInCell="0" allowOverlap="1" wp14:anchorId="1A0CDF6B" wp14:editId="03DD082C">
                      <wp:simplePos x="0" y="0"/>
                      <wp:positionH relativeFrom="page">
                        <wp:posOffset>6769100</wp:posOffset>
                      </wp:positionH>
                      <wp:positionV relativeFrom="page">
                        <wp:posOffset>10081260</wp:posOffset>
                      </wp:positionV>
                      <wp:extent cx="647700" cy="396240"/>
                      <wp:effectExtent l="0"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9DDA5" w14:textId="77777777" w:rsidR="008C107D" w:rsidRPr="00EC3E49" w:rsidRDefault="008C107D">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1A0CDF6B">
                      <v:stroke joinstyle="miter"/>
                      <v:path gradientshapeok="t" o:connecttype="rect"/>
                    </v:shapetype>
                    <v:shape id="Text Box 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gLX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B5ggLXtQIAALgF&#10;AAAOAAAAAAAAAAAAAAAAAC4CAABkcnMvZTJvRG9jLnhtbFBLAQItABQABgAIAAAAIQDrVDFa3gAA&#10;AA8BAAAPAAAAAAAAAAAAAAAAAA8FAABkcnMvZG93bnJldi54bWxQSwUGAAAAAAQABADzAAAAGgYA&#10;AAAA&#10;">
                      <v:textbox>
                        <w:txbxContent>
                          <w:p w:rsidRPr="00EC3E49" w:rsidR="008C107D" w:rsidRDefault="008C107D" w14:paraId="6DE9DDA5" w14:textId="77777777">
                            <w:pPr>
                              <w:jc w:val="center"/>
                              <w:rPr>
                                <w:b/>
                                <w:bCs/>
                                <w:sz w:val="48"/>
                                <w:rFonts w:ascii="Arial" w:hAnsi="Arial" w:cs="Arial"/>
                              </w:rPr>
                            </w:pPr>
                            <w:r>
                              <w:rPr>
                                <w:b/>
                                <w:bCs/>
                                <w:sz w:val="48"/>
                                <w:rFonts w:ascii="Arial" w:hAnsi="Arial"/>
                              </w:rPr>
                              <w:t xml:space="preserve">EN</w:t>
                            </w:r>
                          </w:p>
                        </w:txbxContent>
                      </v:textbox>
                      <w10:wrap anchorx="page" anchory="page"/>
                    </v:shape>
                  </w:pict>
                </mc:Fallback>
              </mc:AlternateContent>
            </w:r>
            <w:r w:rsidR="00205B63">
              <w:rPr>
                <w:noProof/>
                <w:lang w:val="en-US"/>
              </w:rPr>
              <w:drawing>
                <wp:inline distT="0" distB="0" distL="0" distR="0" wp14:anchorId="26DFDA36" wp14:editId="215AB7F9">
                  <wp:extent cx="1799590" cy="1558290"/>
                  <wp:effectExtent l="0" t="0" r="0" b="3810"/>
                  <wp:docPr id="1" name="Picture 1" title="CoR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r>
              <w:rPr>
                <w:b/>
                <w:bCs/>
                <w:noProof/>
                <w:lang w:val="en-US"/>
              </w:rPr>
              <w:drawing>
                <wp:anchor distT="0" distB="0" distL="114300" distR="114300" simplePos="0" relativeHeight="251662336" behindDoc="0" locked="0" layoutInCell="0" allowOverlap="0" wp14:anchorId="708024FE" wp14:editId="2449109F">
                  <wp:simplePos x="0" y="0"/>
                  <wp:positionH relativeFrom="page">
                    <wp:posOffset>900430</wp:posOffset>
                  </wp:positionH>
                  <wp:positionV relativeFrom="page">
                    <wp:posOffset>10185400</wp:posOffset>
                  </wp:positionV>
                  <wp:extent cx="5727600" cy="266400"/>
                  <wp:effectExtent l="0" t="0" r="0"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45" w:type="dxa"/>
          </w:tcPr>
          <w:p w14:paraId="6E072F48" w14:textId="77777777" w:rsidR="0013768F" w:rsidRPr="00EC3E49" w:rsidRDefault="0013768F" w:rsidP="002420B8"/>
        </w:tc>
      </w:tr>
      <w:tr w:rsidR="00DC6B55" w:rsidRPr="00EC3E49" w14:paraId="6CDB4673" w14:textId="77777777" w:rsidTr="002420B8">
        <w:tc>
          <w:tcPr>
            <w:tcW w:w="9289" w:type="dxa"/>
            <w:gridSpan w:val="2"/>
          </w:tcPr>
          <w:p w14:paraId="3B093FA4" w14:textId="77777777" w:rsidR="00DC6B55" w:rsidRPr="00EC3E49" w:rsidRDefault="008D3528" w:rsidP="00CB65B5">
            <w:pPr>
              <w:jc w:val="right"/>
            </w:pPr>
            <w:r>
              <w:rPr>
                <w:b/>
                <w:bCs/>
                <w:sz w:val="28"/>
                <w:szCs w:val="28"/>
              </w:rPr>
              <w:t>SEDEC-VI/049</w:t>
            </w:r>
          </w:p>
        </w:tc>
      </w:tr>
      <w:tr w:rsidR="00DC6B55" w:rsidRPr="00EC3E49" w14:paraId="04A5AC82" w14:textId="77777777" w:rsidTr="002420B8">
        <w:tc>
          <w:tcPr>
            <w:tcW w:w="9289" w:type="dxa"/>
            <w:gridSpan w:val="2"/>
          </w:tcPr>
          <w:p w14:paraId="332A9BBF" w14:textId="08CCE29F" w:rsidR="00DC6B55" w:rsidRPr="00EC3E49" w:rsidRDefault="008D3528" w:rsidP="008D3528">
            <w:pPr>
              <w:jc w:val="center"/>
              <w:rPr>
                <w:b/>
                <w:bCs/>
                <w:sz w:val="28"/>
                <w:szCs w:val="28"/>
              </w:rPr>
            </w:pPr>
            <w:r>
              <w:rPr>
                <w:b/>
                <w:bCs/>
                <w:sz w:val="28"/>
                <w:szCs w:val="28"/>
              </w:rPr>
              <w:t>22nd commission meeting, Monday 18 February 2019</w:t>
            </w:r>
          </w:p>
        </w:tc>
      </w:tr>
    </w:tbl>
    <w:p w14:paraId="62D79A97" w14:textId="2927C2C2" w:rsidR="00DC6B55" w:rsidRPr="00EC3E49" w:rsidRDefault="00DC6B55" w:rsidP="00CB65B5"/>
    <w:p w14:paraId="045288DF" w14:textId="622D18A9" w:rsidR="000A6FAC" w:rsidRPr="00EC3E49" w:rsidRDefault="005E5448" w:rsidP="00CB65B5">
      <w:r>
        <w:rPr>
          <w:noProof/>
          <w:sz w:val="20"/>
          <w:lang w:val="en-US"/>
        </w:rPr>
        <mc:AlternateContent>
          <mc:Choice Requires="wps">
            <w:drawing>
              <wp:anchor distT="0" distB="0" distL="114300" distR="114300" simplePos="0" relativeHeight="251664384" behindDoc="1" locked="0" layoutInCell="0" allowOverlap="1" wp14:anchorId="77180526" wp14:editId="6F8A8960">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6B58" w14:textId="77777777" w:rsidR="005E5448" w:rsidRPr="00260E65" w:rsidRDefault="005E5448">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Text Box 21" style="position:absolute;left:0;text-align:left;margin-left:533pt;margin-top:793.8pt;width:51pt;height:3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YAuQIAAME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" w14:anchorId="77180526">
                <v:textbox>
                  <w:txbxContent>
                    <w:p w:rsidRPr="00260E65" w:rsidR="005E5448" w:rsidRDefault="005E5448" w14:paraId="42116B58" w14:textId="77777777">
                      <w:pPr>
                        <w:jc w:val="center"/>
                        <w:rPr>
                          <w:b/>
                          <w:bCs/>
                          <w:sz w:val="48"/>
                          <w:rFonts w:ascii="Arial" w:hAnsi="Arial" w:cs="Arial"/>
                        </w:rPr>
                      </w:pPr>
                      <w:r>
                        <w:rPr>
                          <w:b/>
                          <w:bCs/>
                          <w:sz w:val="48"/>
                          <w:rFonts w:ascii="Arial" w:hAnsi="Arial"/>
                        </w:rPr>
                        <w:t xml:space="preserve">EN</w:t>
                      </w:r>
                    </w:p>
                  </w:txbxContent>
                </v:textbox>
                <w10:wrap anchorx="page" anchory="page"/>
              </v:shape>
            </w:pict>
          </mc:Fallback>
        </mc:AlternateContent>
      </w:r>
    </w:p>
    <w:p w14:paraId="6D5989B5" w14:textId="77777777" w:rsidR="002420B8" w:rsidRPr="00EC3E49" w:rsidRDefault="001A3BCA" w:rsidP="000A6FAC">
      <w:pPr>
        <w:jc w:val="center"/>
        <w:rPr>
          <w:b/>
          <w:bCs/>
          <w:sz w:val="28"/>
          <w:szCs w:val="28"/>
        </w:rPr>
      </w:pPr>
      <w:r>
        <w:rPr>
          <w:b/>
          <w:sz w:val="28"/>
          <w:szCs w:val="28"/>
        </w:rPr>
        <w:t>WORKING DOCUMENT</w:t>
      </w:r>
    </w:p>
    <w:p w14:paraId="1F04D586" w14:textId="77777777" w:rsidR="002420B8" w:rsidRPr="00EC3E49" w:rsidRDefault="002420B8" w:rsidP="002420B8"/>
    <w:p w14:paraId="17803765" w14:textId="1D92AF50" w:rsidR="001A3BCA" w:rsidRPr="001A3BCA" w:rsidRDefault="001A3BCA" w:rsidP="001A3BCA">
      <w:pPr>
        <w:jc w:val="center"/>
        <w:rPr>
          <w:b/>
          <w:bCs/>
          <w:sz w:val="28"/>
          <w:szCs w:val="28"/>
        </w:rPr>
      </w:pPr>
      <w:r>
        <w:rPr>
          <w:b/>
          <w:bCs/>
          <w:sz w:val="28"/>
          <w:szCs w:val="28"/>
        </w:rPr>
        <w:t xml:space="preserve"> Commission for Social Policy, Education, Employment, Research and Culture</w:t>
      </w:r>
    </w:p>
    <w:p w14:paraId="2CD9DCA2" w14:textId="77777777" w:rsidR="001A3BCA" w:rsidRPr="00EC3E49" w:rsidRDefault="001A3BCA" w:rsidP="000A6FAC">
      <w:pPr>
        <w:jc w:val="center"/>
        <w:rPr>
          <w:b/>
          <w:bCs/>
          <w:sz w:val="28"/>
          <w:szCs w:val="28"/>
        </w:rPr>
      </w:pPr>
    </w:p>
    <w:p w14:paraId="2A70CFE9" w14:textId="77777777" w:rsidR="001A3BCA" w:rsidRPr="001A3BCA" w:rsidRDefault="009735B1" w:rsidP="001A3BCA">
      <w:pPr>
        <w:spacing w:line="240" w:lineRule="auto"/>
        <w:jc w:val="center"/>
        <w:rPr>
          <w:b/>
          <w:bCs/>
          <w:sz w:val="28"/>
          <w:szCs w:val="28"/>
        </w:rPr>
      </w:pPr>
      <w:r>
        <w:rPr>
          <w:b/>
          <w:bCs/>
          <w:sz w:val="28"/>
          <w:szCs w:val="28"/>
        </w:rPr>
        <w:t xml:space="preserve">Strengthening </w:t>
      </w:r>
      <w:proofErr w:type="gramStart"/>
      <w:r>
        <w:rPr>
          <w:b/>
          <w:bCs/>
          <w:sz w:val="28"/>
          <w:szCs w:val="28"/>
        </w:rPr>
        <w:t>STE(</w:t>
      </w:r>
      <w:proofErr w:type="gramEnd"/>
      <w:r>
        <w:rPr>
          <w:b/>
          <w:bCs/>
          <w:sz w:val="28"/>
          <w:szCs w:val="28"/>
        </w:rPr>
        <w:t>A)M education in the EU</w:t>
      </w:r>
    </w:p>
    <w:p w14:paraId="44E4D877" w14:textId="77777777" w:rsidR="00DC6B55" w:rsidRPr="00EC3E49" w:rsidRDefault="00DC6B55" w:rsidP="000A6FAC">
      <w:pPr>
        <w:jc w:val="center"/>
      </w:pPr>
    </w:p>
    <w:p w14:paraId="1A511743" w14:textId="77777777" w:rsidR="00646BFB" w:rsidRPr="00EC3E49" w:rsidRDefault="00646BFB" w:rsidP="00CB65B5"/>
    <w:p w14:paraId="33F62A80" w14:textId="77777777" w:rsidR="00E44AE4" w:rsidRPr="00EC3E49" w:rsidRDefault="00E44AE4" w:rsidP="00CB65B5"/>
    <w:tbl>
      <w:tblPr>
        <w:tblW w:w="0" w:type="auto"/>
        <w:tblLayout w:type="fixed"/>
        <w:tblLook w:val="01E0" w:firstRow="1" w:lastRow="1" w:firstColumn="1" w:lastColumn="1" w:noHBand="0" w:noVBand="0"/>
      </w:tblPr>
      <w:tblGrid>
        <w:gridCol w:w="9289"/>
      </w:tblGrid>
      <w:tr w:rsidR="00DC6B55" w:rsidRPr="00EC3E49" w14:paraId="1ABB691C" w14:textId="77777777" w:rsidTr="002420B8">
        <w:tc>
          <w:tcPr>
            <w:tcW w:w="9289" w:type="dxa"/>
          </w:tcPr>
          <w:p w14:paraId="05C93D15" w14:textId="77777777" w:rsidR="00DC6B55" w:rsidRPr="00EC3E49" w:rsidRDefault="00DC6B55" w:rsidP="00CB65B5">
            <w:pPr>
              <w:jc w:val="center"/>
            </w:pPr>
            <w:r>
              <w:t>_____________</w:t>
            </w:r>
          </w:p>
          <w:p w14:paraId="1438F42C" w14:textId="77777777" w:rsidR="002420B8" w:rsidRPr="00EC3E49" w:rsidRDefault="002420B8" w:rsidP="00CB65B5">
            <w:pPr>
              <w:jc w:val="center"/>
            </w:pPr>
          </w:p>
          <w:p w14:paraId="67FBEF88" w14:textId="091FE108" w:rsidR="00DC6B55" w:rsidRDefault="00DC6B55" w:rsidP="00CB65B5">
            <w:pPr>
              <w:jc w:val="center"/>
              <w:rPr>
                <w:b/>
              </w:rPr>
            </w:pPr>
            <w:r>
              <w:t xml:space="preserve">Rapporteur: </w:t>
            </w:r>
            <w:proofErr w:type="spellStart"/>
            <w:r>
              <w:rPr>
                <w:b/>
              </w:rPr>
              <w:t>Csaba</w:t>
            </w:r>
            <w:proofErr w:type="spellEnd"/>
            <w:r>
              <w:rPr>
                <w:b/>
              </w:rPr>
              <w:t xml:space="preserve"> </w:t>
            </w:r>
            <w:proofErr w:type="spellStart"/>
            <w:r>
              <w:rPr>
                <w:b/>
              </w:rPr>
              <w:t>Borboly</w:t>
            </w:r>
            <w:proofErr w:type="spellEnd"/>
            <w:r>
              <w:rPr>
                <w:b/>
              </w:rPr>
              <w:t xml:space="preserve"> (RO/EPP)</w:t>
            </w:r>
          </w:p>
          <w:p w14:paraId="47213369" w14:textId="270893E0" w:rsidR="00106E38" w:rsidRPr="00EC3E49" w:rsidRDefault="00CD4EB3" w:rsidP="00CB65B5">
            <w:pPr>
              <w:jc w:val="center"/>
              <w:rPr>
                <w:bCs/>
              </w:rPr>
            </w:pPr>
            <w:r>
              <w:t xml:space="preserve">President of </w:t>
            </w:r>
            <w:proofErr w:type="spellStart"/>
            <w:r>
              <w:t>Harghita</w:t>
            </w:r>
            <w:proofErr w:type="spellEnd"/>
            <w:r>
              <w:t xml:space="preserve"> County Council</w:t>
            </w:r>
          </w:p>
          <w:p w14:paraId="5FBE1869" w14:textId="77777777" w:rsidR="00DC6B55" w:rsidRPr="00EC3E49" w:rsidRDefault="00DC6B55" w:rsidP="002420B8">
            <w:pPr>
              <w:jc w:val="center"/>
            </w:pPr>
            <w:r>
              <w:t>_____________</w:t>
            </w:r>
          </w:p>
        </w:tc>
      </w:tr>
    </w:tbl>
    <w:p w14:paraId="22BC1F68" w14:textId="77777777" w:rsidR="00DC6B55" w:rsidRPr="00EC3E49" w:rsidRDefault="00DC6B55" w:rsidP="00CB65B5">
      <w:pPr>
        <w:jc w:val="left"/>
      </w:pPr>
    </w:p>
    <w:p w14:paraId="260D9028" w14:textId="77777777" w:rsidR="00DC6B55" w:rsidRPr="00EC3E49" w:rsidRDefault="00DC6B55" w:rsidP="00CB65B5">
      <w:pPr>
        <w:jc w:val="left"/>
      </w:pPr>
    </w:p>
    <w:p w14:paraId="71600AEC" w14:textId="77777777" w:rsidR="00DC6B55" w:rsidRPr="00EC3E49" w:rsidRDefault="00DC6B55" w:rsidP="00CB65B5">
      <w:pPr>
        <w:jc w:val="left"/>
      </w:pPr>
    </w:p>
    <w:p w14:paraId="0C8FE903" w14:textId="77777777" w:rsidR="00DC6B55" w:rsidRPr="00EC3E49" w:rsidRDefault="00DC6B55" w:rsidP="00CB65B5">
      <w:pPr>
        <w:jc w:val="left"/>
      </w:pPr>
    </w:p>
    <w:p w14:paraId="07EAD383" w14:textId="77777777" w:rsidR="00DC6B55" w:rsidRPr="00EC3E49" w:rsidRDefault="00DC6B55" w:rsidP="00CB65B5">
      <w:pPr>
        <w:jc w:val="left"/>
      </w:pPr>
    </w:p>
    <w:p w14:paraId="56C0FDA3" w14:textId="77777777" w:rsidR="00DC6B55" w:rsidRPr="00EC3E49" w:rsidRDefault="00DC6B55" w:rsidP="00CB65B5">
      <w:pPr>
        <w:jc w:val="left"/>
      </w:pPr>
    </w:p>
    <w:p w14:paraId="5EE8B2ED" w14:textId="77777777" w:rsidR="00DC6B55" w:rsidRDefault="00DC6B55" w:rsidP="00CB65B5">
      <w:pPr>
        <w:jc w:val="left"/>
      </w:pPr>
    </w:p>
    <w:p w14:paraId="20250431" w14:textId="77777777" w:rsidR="00106E38" w:rsidRDefault="00106E38" w:rsidP="00CB65B5">
      <w:pPr>
        <w:jc w:val="left"/>
      </w:pPr>
    </w:p>
    <w:p w14:paraId="471E9A53" w14:textId="77777777" w:rsidR="00106E38" w:rsidRPr="00EC3E49" w:rsidRDefault="00106E38" w:rsidP="00CB65B5">
      <w:pPr>
        <w:jc w:val="left"/>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289"/>
      </w:tblGrid>
      <w:tr w:rsidR="00DC6B55" w:rsidRPr="00EC3E49" w14:paraId="0B023927" w14:textId="77777777" w:rsidTr="002420B8">
        <w:tc>
          <w:tcPr>
            <w:tcW w:w="9289" w:type="dxa"/>
          </w:tcPr>
          <w:p w14:paraId="7C1349C6" w14:textId="016A8F75" w:rsidR="00DC6B55" w:rsidRPr="00D5162F" w:rsidRDefault="00497319">
            <w:pPr>
              <w:rPr>
                <w:b/>
                <w:bCs/>
              </w:rPr>
            </w:pPr>
            <w:r>
              <w:t xml:space="preserve">This document </w:t>
            </w:r>
            <w:proofErr w:type="gramStart"/>
            <w:r>
              <w:t>will be discussed</w:t>
            </w:r>
            <w:proofErr w:type="gramEnd"/>
            <w:r>
              <w:t xml:space="preserve"> at the meeting of the </w:t>
            </w:r>
            <w:r>
              <w:rPr>
                <w:b/>
              </w:rPr>
              <w:t>Commission for Social Policy, Education, Employment, Research and Culture</w:t>
            </w:r>
            <w:r>
              <w:t xml:space="preserve"> to be held </w:t>
            </w:r>
            <w:r>
              <w:rPr>
                <w:b/>
              </w:rPr>
              <w:t>from 10.30 a.m. to 2 p.m. on 18 February 2019</w:t>
            </w:r>
            <w:r>
              <w:t>.</w:t>
            </w:r>
          </w:p>
        </w:tc>
      </w:tr>
    </w:tbl>
    <w:p w14:paraId="6F574955" w14:textId="77777777" w:rsidR="00DC6B55" w:rsidRPr="00EC3E49" w:rsidRDefault="00DC6B55" w:rsidP="00CB65B5"/>
    <w:p w14:paraId="02A53C9E" w14:textId="77777777" w:rsidR="00DC6B55" w:rsidRPr="00EC3E49" w:rsidRDefault="00DC6B55" w:rsidP="00CB65B5"/>
    <w:p w14:paraId="18131AE5" w14:textId="77777777" w:rsidR="00DC6B55" w:rsidRPr="00EC3E49" w:rsidRDefault="00DC6B55" w:rsidP="00CB65B5">
      <w:pPr>
        <w:tabs>
          <w:tab w:val="left" w:pos="440"/>
        </w:tabs>
        <w:ind w:left="440" w:hanging="440"/>
        <w:sectPr w:rsidR="00DC6B55" w:rsidRPr="00EC3E49" w:rsidSect="008631B2">
          <w:footerReference w:type="default" r:id="rId13"/>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DC6B55" w:rsidRPr="00EC3E49" w14:paraId="30F67516" w14:textId="77777777" w:rsidTr="002420B8">
        <w:trPr>
          <w:trHeight w:val="12474"/>
        </w:trPr>
        <w:tc>
          <w:tcPr>
            <w:tcW w:w="9289" w:type="dxa"/>
            <w:vAlign w:val="bottom"/>
          </w:tcPr>
          <w:p w14:paraId="2FFB7E17" w14:textId="694FFA53" w:rsidR="00470159" w:rsidRPr="00956F17" w:rsidRDefault="00470159" w:rsidP="00470159">
            <w:pPr>
              <w:rPr>
                <w:u w:val="single"/>
              </w:rPr>
            </w:pPr>
            <w:r>
              <w:rPr>
                <w:u w:val="single"/>
              </w:rPr>
              <w:lastRenderedPageBreak/>
              <w:t>Reference documents</w:t>
            </w:r>
          </w:p>
          <w:p w14:paraId="5E20F9FE" w14:textId="77777777" w:rsidR="00470159" w:rsidRDefault="00470159" w:rsidP="00470159"/>
          <w:p w14:paraId="3223639C" w14:textId="77777777" w:rsidR="00470159" w:rsidRPr="00470159" w:rsidRDefault="00470159" w:rsidP="00470159"/>
          <w:p w14:paraId="12B12573" w14:textId="77777777" w:rsidR="00DC6B55" w:rsidRPr="00EC3E49" w:rsidRDefault="00DC6B55" w:rsidP="00CB65B5"/>
        </w:tc>
      </w:tr>
    </w:tbl>
    <w:p w14:paraId="79F68B54" w14:textId="2A4E2073" w:rsidR="00F50160" w:rsidRPr="004B2FA2" w:rsidRDefault="00B77922" w:rsidP="00F50160">
      <w:pPr>
        <w:spacing w:line="240" w:lineRule="auto"/>
        <w:jc w:val="center"/>
        <w:rPr>
          <w:b/>
        </w:rPr>
      </w:pPr>
      <w:r>
        <w:br w:type="page"/>
      </w:r>
      <w:r>
        <w:rPr>
          <w:b/>
        </w:rPr>
        <w:lastRenderedPageBreak/>
        <w:t xml:space="preserve">Working document of the Commission for Social Policy, Education, Employment, Research and Culture – Strengthening </w:t>
      </w:r>
      <w:proofErr w:type="gramStart"/>
      <w:r>
        <w:rPr>
          <w:b/>
        </w:rPr>
        <w:t>STE(</w:t>
      </w:r>
      <w:proofErr w:type="gramEnd"/>
      <w:r>
        <w:rPr>
          <w:b/>
        </w:rPr>
        <w:t>A)M education in the EU</w:t>
      </w:r>
    </w:p>
    <w:p w14:paraId="024C1A84" w14:textId="77777777" w:rsidR="00CB65B5" w:rsidRPr="004B2FA2" w:rsidRDefault="00CB65B5" w:rsidP="00CB65B5">
      <w:pPr>
        <w:jc w:val="center"/>
      </w:pPr>
    </w:p>
    <w:p w14:paraId="3CA1FD50" w14:textId="2B97C3D9" w:rsidR="00CB65B5" w:rsidRDefault="00CB65B5" w:rsidP="00CB65B5"/>
    <w:p w14:paraId="78412ACE" w14:textId="16CBBB37" w:rsidR="00CC48CC" w:rsidRPr="00EC3E49" w:rsidRDefault="00CC48CC" w:rsidP="00CB65B5">
      <w:r>
        <w:t>BACKGROUND</w:t>
      </w:r>
    </w:p>
    <w:p w14:paraId="0855146D" w14:textId="77777777" w:rsidR="00996D27" w:rsidRDefault="00996D27" w:rsidP="00554E02"/>
    <w:p w14:paraId="2D7FCB38" w14:textId="3821EB85" w:rsidR="00CB65B5" w:rsidRDefault="00CC48CC" w:rsidP="00554E02">
      <w:r>
        <w:t xml:space="preserve">A coherent and integrated approach to science, technology, engineering and mathematics (STEM) education and the development of related skills and abilities can be found all over the world and at every level of education. This topic is particularly important as these scientific fields and disciplines are at the heart of innovation-intensive economic sectors, such as ICT, robotics, automation, technical research and development, logistics and various engineering activities, the economic development of which </w:t>
      </w:r>
      <w:proofErr w:type="gramStart"/>
      <w:r>
        <w:t>is expected</w:t>
      </w:r>
      <w:proofErr w:type="gramEnd"/>
      <w:r>
        <w:t xml:space="preserve"> to continue in a sustained way.</w:t>
      </w:r>
    </w:p>
    <w:p w14:paraId="719C1B82" w14:textId="0CD84197" w:rsidR="005C5B8D" w:rsidRDefault="005C5B8D" w:rsidP="00554E02"/>
    <w:p w14:paraId="45224AA2" w14:textId="0EE5FADE" w:rsidR="000B5F4A" w:rsidRDefault="005C5B8D" w:rsidP="00554E02">
      <w:r>
        <w:t xml:space="preserve">Since the 1940s in the United States and the 1970s in certain EU Member States, an integrated approach </w:t>
      </w:r>
      <w:proofErr w:type="gramStart"/>
      <w:r>
        <w:t>has been developed</w:t>
      </w:r>
      <w:proofErr w:type="gramEnd"/>
      <w:r>
        <w:t xml:space="preserve"> towards STEM subjects, the basic principle being that the various disciplines should not be considered in isolation; rather, they should be viewed and taught in a coherent way, according to a system that – in practice – is multidisciplinary. STEM subjects have therefore contributed in a significant way to the development of the knowledge economy in Europe.</w:t>
      </w:r>
    </w:p>
    <w:p w14:paraId="6FB421B5" w14:textId="6C7E18D5" w:rsidR="000B5F4A" w:rsidRDefault="000B5F4A" w:rsidP="00554E02"/>
    <w:p w14:paraId="3C8B9BCA" w14:textId="3830A435" w:rsidR="000B5F4A" w:rsidRDefault="000B5F4A" w:rsidP="00554E02">
      <w:r>
        <w:t xml:space="preserve">According to various studies, in the medium to long term the number of jobs in sectors related to STEM will rise significantly, and in almost all Member States </w:t>
      </w:r>
      <w:proofErr w:type="gramStart"/>
      <w:r>
        <w:t>unemployment</w:t>
      </w:r>
      <w:proofErr w:type="gramEnd"/>
      <w:r>
        <w:t xml:space="preserve"> rates are lowest in these sectors. Given the results in STEM subjects at international level, it is worth focusing not only on higher education but also on laying the foundations for these subjects at all levels of education. This </w:t>
      </w:r>
      <w:proofErr w:type="gramStart"/>
      <w:r>
        <w:t>can be achieved</w:t>
      </w:r>
      <w:proofErr w:type="gramEnd"/>
      <w:r>
        <w:t xml:space="preserve"> by broadening the range of basic skills that should be available to everyone to include basic STEM skills, and particularly technical literacy. Teacher training and postgraduate training </w:t>
      </w:r>
      <w:proofErr w:type="gramStart"/>
      <w:r>
        <w:t>should also be developed</w:t>
      </w:r>
      <w:proofErr w:type="gramEnd"/>
      <w:r>
        <w:t>.</w:t>
      </w:r>
    </w:p>
    <w:p w14:paraId="3A0EF985" w14:textId="77777777" w:rsidR="004A5AF4" w:rsidRDefault="004A5AF4" w:rsidP="00554E02"/>
    <w:p w14:paraId="1AA3F611" w14:textId="2CC1C783" w:rsidR="00206770" w:rsidRDefault="001E3E82" w:rsidP="00CB65B5">
      <w:r>
        <w:t>STEM SUBJECTS AND LOCAL AND REGIONAL AUTHORITIES</w:t>
      </w:r>
    </w:p>
    <w:p w14:paraId="2FFA670A" w14:textId="77777777" w:rsidR="00996D27" w:rsidRDefault="00996D27" w:rsidP="00CB65B5"/>
    <w:p w14:paraId="605B1494" w14:textId="0D6D2A3F" w:rsidR="00AA017A" w:rsidRDefault="001E3E82" w:rsidP="00CB65B5">
      <w:bookmarkStart w:id="0" w:name="_GoBack"/>
      <w:bookmarkEnd w:id="0"/>
      <w:r>
        <w:t>This own-initiative opinion is justified by the need to examine, in line with the principle of multi-level governance, how local and regional authorities can help to address the existing shortcomings in the harmonisation between training courses in STEM subjects, the STEM workforce and STEM-related jobs.</w:t>
      </w:r>
    </w:p>
    <w:p w14:paraId="5587897D" w14:textId="4BB276F2" w:rsidR="00B750A2" w:rsidRDefault="00B750A2" w:rsidP="00CB65B5"/>
    <w:p w14:paraId="188A0965" w14:textId="60AD52F3" w:rsidR="00B750A2" w:rsidRDefault="00B750A2" w:rsidP="00CB65B5">
      <w:r>
        <w:t>During the period 2021-2027, the educational solutions and opportunities that are most likely to contribute to preserving a knowledge-based economic model in Europe – i.e. one which can develop successfully while also being inclusive and supportive of equal opportunities – should be clearly defined. Local and regional authorities, which fund schools or otherwise support the education network, undoubtedly have a place in this process, as they play a decisive role in mobilising EU funds.</w:t>
      </w:r>
    </w:p>
    <w:p w14:paraId="073B2F42" w14:textId="0490A297" w:rsidR="00F56909" w:rsidRDefault="00F56909" w:rsidP="00CB65B5"/>
    <w:p w14:paraId="3BBA2364" w14:textId="5BCB414E" w:rsidR="00F56909" w:rsidRDefault="00297C1C" w:rsidP="00CB65B5">
      <w:r>
        <w:t xml:space="preserve">STEM-related initiatives, strategies, action plans and public-private partnerships at local and regional level </w:t>
      </w:r>
      <w:proofErr w:type="gramStart"/>
      <w:r>
        <w:t>can be expected</w:t>
      </w:r>
      <w:proofErr w:type="gramEnd"/>
      <w:r>
        <w:t xml:space="preserve"> to play an important role in bridging the gap in development between the various regions. In many cases, increasing the number of STEM-related jobs does not require the use of expensive traditional infrastructure, and there are also many opportunities, especially in vocational education and adult training, for organising specialised, short-term training courses, sometimes only a few months in duration. Local and regional authorities may have a positive impact in this regard, given </w:t>
      </w:r>
      <w:r>
        <w:lastRenderedPageBreak/>
        <w:t>that the presence of a competent STEM workforce is a decisive factor in determining the competitiveness of a region. This is precisely why treating STEM subjects as a local and regional priority, as well as prioritising collaborative initiatives and investment with regard to their development, can go a long way towards limiting the harmful effects of brain drain by offering career opportunities that are suitable for the active STEM workforce.</w:t>
      </w:r>
    </w:p>
    <w:p w14:paraId="23BC25E1" w14:textId="0405FF96" w:rsidR="00081B8A" w:rsidRDefault="00081B8A" w:rsidP="00CB65B5"/>
    <w:p w14:paraId="752ABE9C" w14:textId="21D3A97D" w:rsidR="00081B8A" w:rsidRDefault="00081B8A" w:rsidP="00CB65B5">
      <w:r>
        <w:t xml:space="preserve">Three shortcomings </w:t>
      </w:r>
      <w:proofErr w:type="gramStart"/>
      <w:r>
        <w:t>have been observed</w:t>
      </w:r>
      <w:proofErr w:type="gramEnd"/>
      <w:r>
        <w:t xml:space="preserve"> in relation to STEM in recent decades:</w:t>
      </w:r>
    </w:p>
    <w:p w14:paraId="0E42EED7" w14:textId="5E3C1554" w:rsidR="000B241D" w:rsidRDefault="005D4BF6" w:rsidP="00470921">
      <w:pPr>
        <w:pStyle w:val="ListParagraph"/>
        <w:numPr>
          <w:ilvl w:val="0"/>
          <w:numId w:val="26"/>
        </w:numPr>
      </w:pPr>
      <w:r>
        <w:t>there is a Europe-wide shortage of teachers specialised in STEM at all levels of education;</w:t>
      </w:r>
    </w:p>
    <w:p w14:paraId="3EB70AD8" w14:textId="1E537935" w:rsidR="00470921" w:rsidRDefault="005D4BF6" w:rsidP="00470921">
      <w:pPr>
        <w:pStyle w:val="ListParagraph"/>
        <w:numPr>
          <w:ilvl w:val="0"/>
          <w:numId w:val="26"/>
        </w:numPr>
      </w:pPr>
      <w:r>
        <w:t>in many cases, students' interest in STEM is decreasing;</w:t>
      </w:r>
    </w:p>
    <w:p w14:paraId="65C94953" w14:textId="521DA80B" w:rsidR="005D4BF6" w:rsidRDefault="005D4BF6" w:rsidP="00470921">
      <w:pPr>
        <w:pStyle w:val="ListParagraph"/>
        <w:numPr>
          <w:ilvl w:val="0"/>
          <w:numId w:val="26"/>
        </w:numPr>
      </w:pPr>
      <w:proofErr w:type="gramStart"/>
      <w:r>
        <w:t>the</w:t>
      </w:r>
      <w:proofErr w:type="gramEnd"/>
      <w:r>
        <w:t xml:space="preserve"> results produced by the education system are not always in line with the needs of the labour market.</w:t>
      </w:r>
    </w:p>
    <w:p w14:paraId="511CF7D7" w14:textId="77777777" w:rsidR="006E48A3" w:rsidRDefault="006E48A3" w:rsidP="005D4BF6"/>
    <w:p w14:paraId="4A427035" w14:textId="420B1B52" w:rsidR="005D4BF6" w:rsidRDefault="005D4BF6" w:rsidP="005D4BF6">
      <w:r>
        <w:t>Appropriate planning, the establishment of local and regional partnerships and cooperation with employers are needed in order to provide an effective response to these problems. Since only nine Member States currently have a national STEM strategy, it is up to local and regional authorities to manage the issue more appropriately.</w:t>
      </w:r>
    </w:p>
    <w:p w14:paraId="1509CE24" w14:textId="419B670B" w:rsidR="005D4BF6" w:rsidRDefault="005D4BF6" w:rsidP="005D4BF6"/>
    <w:p w14:paraId="60FC961F" w14:textId="5C53ECA2" w:rsidR="00871ADE" w:rsidRDefault="00B75644" w:rsidP="005D4BF6">
      <w:r>
        <w:t>There are many significant opportunities and challenges when it comes to developing a comprehensive and integrated approach to STEM education and training:</w:t>
      </w:r>
    </w:p>
    <w:p w14:paraId="69130A70" w14:textId="1F6E0FF1" w:rsidR="00A4321D" w:rsidRDefault="00C25F86" w:rsidP="00A4321D">
      <w:pPr>
        <w:pStyle w:val="ListParagraph"/>
        <w:numPr>
          <w:ilvl w:val="0"/>
          <w:numId w:val="27"/>
        </w:numPr>
      </w:pPr>
      <w:r>
        <w:t>given that the proportion of women in these training courses and professions remains low, progress is possible in this regard;</w:t>
      </w:r>
    </w:p>
    <w:p w14:paraId="5C6662D2" w14:textId="44F1C98B" w:rsidR="00A4321D" w:rsidRDefault="00A4321D" w:rsidP="00A4321D">
      <w:pPr>
        <w:pStyle w:val="ListParagraph"/>
        <w:numPr>
          <w:ilvl w:val="0"/>
          <w:numId w:val="27"/>
        </w:numPr>
      </w:pPr>
      <w:r>
        <w:t>university courses and disciplines related to STEM can be internationalised, which can make them particularly attractive for ambitious universities;</w:t>
      </w:r>
    </w:p>
    <w:p w14:paraId="68FBAF2F" w14:textId="4718EEBD" w:rsidR="00DF6C5D" w:rsidRDefault="0014621A" w:rsidP="00A4321D">
      <w:pPr>
        <w:pStyle w:val="ListParagraph"/>
        <w:numPr>
          <w:ilvl w:val="0"/>
          <w:numId w:val="27"/>
        </w:numPr>
      </w:pPr>
      <w:r>
        <w:t>online training and education, which is increasingly popular, can help ensure that students from regions that are lagging behind can also access the appropriate STEM knowledge and skills;</w:t>
      </w:r>
    </w:p>
    <w:p w14:paraId="718B8F51" w14:textId="50B15FCA" w:rsidR="00B60672" w:rsidRDefault="00AC5DF7" w:rsidP="00B60672">
      <w:pPr>
        <w:pStyle w:val="ListParagraph"/>
        <w:numPr>
          <w:ilvl w:val="0"/>
          <w:numId w:val="27"/>
        </w:numPr>
      </w:pPr>
      <w:r>
        <w:t>if STEM courses are organised at local and regional level, specific local traditions and knowledge can be incorporated into the available training, which in turn will also increase opportunities and skills for local and regional authorities in this regard;</w:t>
      </w:r>
    </w:p>
    <w:p w14:paraId="441CE898" w14:textId="527C8FD7" w:rsidR="00B60672" w:rsidRDefault="00B60672" w:rsidP="00B60672">
      <w:pPr>
        <w:pStyle w:val="ListParagraph"/>
        <w:numPr>
          <w:ilvl w:val="0"/>
          <w:numId w:val="27"/>
        </w:numPr>
      </w:pPr>
      <w:r>
        <w:t>professional bodies and organisations that are active and well established at local and regional level should also be involved in planning and carrying out training courses; this would increase the effectiveness of the STEM approach and provide an opportunity for promoting local and regional values;</w:t>
      </w:r>
    </w:p>
    <w:p w14:paraId="545D3EDD" w14:textId="3F23F088" w:rsidR="00BD3C3B" w:rsidRDefault="00144830" w:rsidP="00B60672">
      <w:pPr>
        <w:pStyle w:val="ListParagraph"/>
        <w:numPr>
          <w:ilvl w:val="0"/>
          <w:numId w:val="27"/>
        </w:numPr>
      </w:pPr>
      <w:r>
        <w:t xml:space="preserve">reorienting STEM, i.e. developing teamwork, facilitating </w:t>
      </w:r>
      <w:proofErr w:type="spellStart"/>
      <w:r>
        <w:t>interprofessional</w:t>
      </w:r>
      <w:proofErr w:type="spellEnd"/>
      <w:r>
        <w:t xml:space="preserve"> synergies, supporting and increasing the availability of internships, strengthening project-based education, and increasing the participation of disadvantaged and disabled students in education and training activities, can transform regions into pioneers when it comes to ensuring that innovative players are able to seize the opportunities offered by STEM at an early stage;</w:t>
      </w:r>
    </w:p>
    <w:p w14:paraId="55F2917F" w14:textId="60CF5FC8" w:rsidR="000D6E91" w:rsidRDefault="000D6E91" w:rsidP="00B60672">
      <w:pPr>
        <w:pStyle w:val="ListParagraph"/>
        <w:numPr>
          <w:ilvl w:val="0"/>
          <w:numId w:val="27"/>
        </w:numPr>
      </w:pPr>
      <w:r>
        <w:t>STEM subjects could also benefit from specific local and regional solutions and traditions through the incorporation of elements related to the arts, creativity and design.</w:t>
      </w:r>
    </w:p>
    <w:p w14:paraId="49AEB3C3" w14:textId="07C01685" w:rsidR="00B01D22" w:rsidRDefault="00B01D22" w:rsidP="00CB65B5"/>
    <w:p w14:paraId="1F23B209" w14:textId="09FC384F" w:rsidR="008332D0" w:rsidRDefault="008332D0">
      <w:pPr>
        <w:spacing w:line="240" w:lineRule="auto"/>
        <w:jc w:val="left"/>
      </w:pPr>
      <w:r>
        <w:br w:type="page"/>
      </w:r>
    </w:p>
    <w:p w14:paraId="3771BE2A" w14:textId="77777777" w:rsidR="00DC6B55" w:rsidRPr="00EC3E49" w:rsidRDefault="00DC6B55" w:rsidP="00CB65B5">
      <w:pPr>
        <w:pStyle w:val="ListParagraph"/>
        <w:numPr>
          <w:ilvl w:val="0"/>
          <w:numId w:val="23"/>
        </w:numPr>
        <w:ind w:left="567" w:hanging="567"/>
      </w:pPr>
      <w:r>
        <w:rPr>
          <w:b/>
          <w:bCs/>
        </w:rPr>
        <w:lastRenderedPageBreak/>
        <w:t>PROCEDURE</w:t>
      </w:r>
    </w:p>
    <w:p w14:paraId="21992242" w14:textId="77777777" w:rsidR="00DC6B55" w:rsidRPr="00EC3E49" w:rsidRDefault="00DC6B55" w:rsidP="00CB65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8"/>
        <w:gridCol w:w="5441"/>
      </w:tblGrid>
      <w:tr w:rsidR="00DC6B55" w:rsidRPr="00EC3E49" w14:paraId="68344790" w14:textId="77777777" w:rsidTr="002420B8">
        <w:tc>
          <w:tcPr>
            <w:tcW w:w="3848" w:type="dxa"/>
            <w:noWrap/>
          </w:tcPr>
          <w:p w14:paraId="0AC3FF05" w14:textId="77777777" w:rsidR="00DC6B55" w:rsidRPr="00EC3E49" w:rsidRDefault="00DC6B55" w:rsidP="002420B8">
            <w:pPr>
              <w:jc w:val="left"/>
              <w:rPr>
                <w:b/>
                <w:bCs/>
              </w:rPr>
            </w:pPr>
            <w:r>
              <w:rPr>
                <w:b/>
                <w:bCs/>
              </w:rPr>
              <w:t>Title</w:t>
            </w:r>
          </w:p>
          <w:p w14:paraId="1C1B0968" w14:textId="77777777" w:rsidR="00DC6B55" w:rsidRPr="00EC3E49" w:rsidRDefault="00DC6B55" w:rsidP="002420B8">
            <w:pPr>
              <w:jc w:val="left"/>
            </w:pPr>
          </w:p>
        </w:tc>
        <w:tc>
          <w:tcPr>
            <w:tcW w:w="5441" w:type="dxa"/>
            <w:noWrap/>
          </w:tcPr>
          <w:p w14:paraId="5444A329" w14:textId="77777777" w:rsidR="00DC6B55" w:rsidRPr="00EC3E49" w:rsidRDefault="00946E1F" w:rsidP="00CB65B5">
            <w:r>
              <w:t>Strengthening STE(A)M education in the EU</w:t>
            </w:r>
          </w:p>
        </w:tc>
      </w:tr>
      <w:tr w:rsidR="00934F2F" w:rsidRPr="00EC3E49" w14:paraId="5413B888" w14:textId="77777777" w:rsidTr="002420B8">
        <w:tc>
          <w:tcPr>
            <w:tcW w:w="3848" w:type="dxa"/>
            <w:noWrap/>
          </w:tcPr>
          <w:p w14:paraId="38AA6031" w14:textId="77777777" w:rsidR="00934F2F" w:rsidRPr="00EC3E49" w:rsidRDefault="00934F2F" w:rsidP="002420B8">
            <w:pPr>
              <w:jc w:val="left"/>
            </w:pPr>
            <w:r>
              <w:rPr>
                <w:b/>
                <w:bCs/>
              </w:rPr>
              <w:t>Reference(s)</w:t>
            </w:r>
          </w:p>
        </w:tc>
        <w:tc>
          <w:tcPr>
            <w:tcW w:w="5441" w:type="dxa"/>
            <w:noWrap/>
          </w:tcPr>
          <w:p w14:paraId="7B38FB75" w14:textId="6C0D3658" w:rsidR="00934F2F" w:rsidRPr="00EC3E49" w:rsidRDefault="00934F2F" w:rsidP="00E8353A">
            <w:r>
              <w:t>Not applicable</w:t>
            </w:r>
          </w:p>
        </w:tc>
      </w:tr>
      <w:tr w:rsidR="00934F2F" w:rsidRPr="00EC3E49" w14:paraId="49188026" w14:textId="77777777" w:rsidTr="002420B8">
        <w:tc>
          <w:tcPr>
            <w:tcW w:w="3848" w:type="dxa"/>
            <w:noWrap/>
          </w:tcPr>
          <w:p w14:paraId="139B0B28" w14:textId="77777777" w:rsidR="00934F2F" w:rsidRPr="00EC3E49" w:rsidRDefault="00934F2F" w:rsidP="002420B8">
            <w:pPr>
              <w:jc w:val="left"/>
            </w:pPr>
            <w:r>
              <w:rPr>
                <w:b/>
                <w:bCs/>
              </w:rPr>
              <w:t>Legal basis</w:t>
            </w:r>
          </w:p>
        </w:tc>
        <w:tc>
          <w:tcPr>
            <w:tcW w:w="5441" w:type="dxa"/>
            <w:noWrap/>
          </w:tcPr>
          <w:p w14:paraId="3E07B787" w14:textId="51EAAC74" w:rsidR="00934F2F" w:rsidRPr="00EC3E49" w:rsidRDefault="00934F2F" w:rsidP="00CB65B5">
            <w:r>
              <w:t>Article 304 TFEU</w:t>
            </w:r>
          </w:p>
        </w:tc>
      </w:tr>
      <w:tr w:rsidR="00934F2F" w:rsidRPr="00EC3E49" w14:paraId="6EBCD06E" w14:textId="77777777" w:rsidTr="002420B8">
        <w:tc>
          <w:tcPr>
            <w:tcW w:w="3848" w:type="dxa"/>
            <w:noWrap/>
          </w:tcPr>
          <w:p w14:paraId="4BF8FDEE" w14:textId="77777777" w:rsidR="00934F2F" w:rsidRPr="00EC3E49" w:rsidRDefault="00934F2F" w:rsidP="002420B8">
            <w:pPr>
              <w:jc w:val="left"/>
            </w:pPr>
            <w:r>
              <w:rPr>
                <w:b/>
                <w:bCs/>
              </w:rPr>
              <w:t>Procedural basis</w:t>
            </w:r>
          </w:p>
        </w:tc>
        <w:tc>
          <w:tcPr>
            <w:tcW w:w="5441" w:type="dxa"/>
            <w:noWrap/>
          </w:tcPr>
          <w:p w14:paraId="2A328248" w14:textId="32E6B9EE" w:rsidR="00934F2F" w:rsidRPr="00956F17" w:rsidRDefault="00934F2F" w:rsidP="00D36988">
            <w:r>
              <w:t>Own-initiative opinions – Rule 41 b) ii) of the Rules of Procedure</w:t>
            </w:r>
          </w:p>
        </w:tc>
      </w:tr>
      <w:tr w:rsidR="00934F2F" w:rsidRPr="00EC3E49" w14:paraId="2587F4C1" w14:textId="77777777" w:rsidTr="002420B8">
        <w:tc>
          <w:tcPr>
            <w:tcW w:w="3848" w:type="dxa"/>
            <w:noWrap/>
          </w:tcPr>
          <w:p w14:paraId="5C9508B7" w14:textId="77777777" w:rsidR="00934F2F" w:rsidRPr="00EC3E49" w:rsidRDefault="00934F2F" w:rsidP="002420B8">
            <w:pPr>
              <w:jc w:val="left"/>
            </w:pPr>
            <w:r>
              <w:rPr>
                <w:b/>
                <w:bCs/>
              </w:rPr>
              <w:t>Date of Council/EP referral/Date of Commission letter</w:t>
            </w:r>
          </w:p>
        </w:tc>
        <w:tc>
          <w:tcPr>
            <w:tcW w:w="5441" w:type="dxa"/>
            <w:noWrap/>
          </w:tcPr>
          <w:p w14:paraId="5C7C3EF4" w14:textId="5877A67E" w:rsidR="00934F2F" w:rsidRPr="00EC3E49" w:rsidRDefault="00934F2F" w:rsidP="00CB65B5">
            <w:r>
              <w:t>Not applicable</w:t>
            </w:r>
          </w:p>
        </w:tc>
      </w:tr>
      <w:tr w:rsidR="00934F2F" w:rsidRPr="00EC3E49" w14:paraId="7B13E1B5" w14:textId="77777777" w:rsidTr="002420B8">
        <w:tc>
          <w:tcPr>
            <w:tcW w:w="3848" w:type="dxa"/>
            <w:noWrap/>
          </w:tcPr>
          <w:p w14:paraId="6BC548FB" w14:textId="77777777" w:rsidR="00934F2F" w:rsidRPr="00EC3E49" w:rsidRDefault="00934F2F" w:rsidP="002420B8">
            <w:pPr>
              <w:jc w:val="left"/>
            </w:pPr>
            <w:r>
              <w:rPr>
                <w:b/>
                <w:bCs/>
              </w:rPr>
              <w:t>Date of Bureau/President's decision</w:t>
            </w:r>
          </w:p>
        </w:tc>
        <w:tc>
          <w:tcPr>
            <w:tcW w:w="5441" w:type="dxa"/>
            <w:noWrap/>
          </w:tcPr>
          <w:p w14:paraId="0A8DC038" w14:textId="013B111C" w:rsidR="00934F2F" w:rsidRPr="00EC3E49" w:rsidRDefault="00934F2F" w:rsidP="00CB65B5">
            <w:r>
              <w:t>4 December 2018</w:t>
            </w:r>
          </w:p>
        </w:tc>
      </w:tr>
      <w:tr w:rsidR="00E8353A" w:rsidRPr="00EC3E49" w14:paraId="2BA19D36" w14:textId="77777777" w:rsidTr="002420B8">
        <w:tc>
          <w:tcPr>
            <w:tcW w:w="3848" w:type="dxa"/>
            <w:noWrap/>
          </w:tcPr>
          <w:p w14:paraId="44C6D3E4" w14:textId="77777777" w:rsidR="00E8353A" w:rsidRPr="00EC3E49" w:rsidRDefault="00E8353A" w:rsidP="002420B8">
            <w:pPr>
              <w:jc w:val="left"/>
            </w:pPr>
            <w:r>
              <w:rPr>
                <w:b/>
                <w:bCs/>
              </w:rPr>
              <w:t>Commission responsible</w:t>
            </w:r>
          </w:p>
        </w:tc>
        <w:tc>
          <w:tcPr>
            <w:tcW w:w="5441" w:type="dxa"/>
            <w:noWrap/>
          </w:tcPr>
          <w:p w14:paraId="1ABBA47A" w14:textId="77777777" w:rsidR="00E8353A" w:rsidRPr="00EC3E49" w:rsidRDefault="00E8353A" w:rsidP="00CB65B5">
            <w:r>
              <w:t>Commission for Social Policy, Education, Employment, Research and Culture</w:t>
            </w:r>
          </w:p>
        </w:tc>
      </w:tr>
      <w:tr w:rsidR="00E8353A" w:rsidRPr="00EC3E49" w14:paraId="620C5F4B" w14:textId="77777777" w:rsidTr="002420B8">
        <w:tc>
          <w:tcPr>
            <w:tcW w:w="3848" w:type="dxa"/>
            <w:noWrap/>
          </w:tcPr>
          <w:p w14:paraId="7218DFA1" w14:textId="77777777" w:rsidR="00E8353A" w:rsidRPr="00EC3E49" w:rsidRDefault="00E8353A" w:rsidP="002420B8">
            <w:pPr>
              <w:jc w:val="left"/>
            </w:pPr>
            <w:r>
              <w:rPr>
                <w:b/>
                <w:bCs/>
              </w:rPr>
              <w:t>Rapporteur</w:t>
            </w:r>
          </w:p>
        </w:tc>
        <w:tc>
          <w:tcPr>
            <w:tcW w:w="5441" w:type="dxa"/>
            <w:noWrap/>
          </w:tcPr>
          <w:p w14:paraId="4C2C7EE1" w14:textId="0A4D61BD" w:rsidR="00E8353A" w:rsidRPr="00EC3E49" w:rsidRDefault="00567236" w:rsidP="00E8353A">
            <w:proofErr w:type="spellStart"/>
            <w:r>
              <w:t>Csaba</w:t>
            </w:r>
            <w:proofErr w:type="spellEnd"/>
            <w:r>
              <w:t xml:space="preserve"> </w:t>
            </w:r>
            <w:proofErr w:type="spellStart"/>
            <w:r>
              <w:t>Borboly</w:t>
            </w:r>
            <w:proofErr w:type="spellEnd"/>
            <w:r>
              <w:t xml:space="preserve"> (RO/EPP)</w:t>
            </w:r>
          </w:p>
        </w:tc>
      </w:tr>
      <w:tr w:rsidR="00934F2F" w:rsidRPr="00EC3E49" w14:paraId="5786D660" w14:textId="77777777" w:rsidTr="002420B8">
        <w:tc>
          <w:tcPr>
            <w:tcW w:w="3848" w:type="dxa"/>
            <w:noWrap/>
          </w:tcPr>
          <w:p w14:paraId="0FB0AD1F" w14:textId="77777777" w:rsidR="00934F2F" w:rsidRPr="00EC3E49" w:rsidRDefault="00934F2F" w:rsidP="002420B8">
            <w:pPr>
              <w:jc w:val="left"/>
            </w:pPr>
            <w:r>
              <w:rPr>
                <w:b/>
                <w:bCs/>
              </w:rPr>
              <w:t>Analysis</w:t>
            </w:r>
          </w:p>
        </w:tc>
        <w:tc>
          <w:tcPr>
            <w:tcW w:w="5441" w:type="dxa"/>
            <w:noWrap/>
          </w:tcPr>
          <w:p w14:paraId="07EE2ED2" w14:textId="7572EC1D" w:rsidR="00934F2F" w:rsidRPr="00EC3E49" w:rsidRDefault="00934F2F" w:rsidP="00CB65B5">
            <w:r>
              <w:t>January 2019</w:t>
            </w:r>
          </w:p>
        </w:tc>
      </w:tr>
      <w:tr w:rsidR="00934F2F" w:rsidRPr="00EC3E49" w14:paraId="3B6D25AF" w14:textId="77777777" w:rsidTr="002420B8">
        <w:tc>
          <w:tcPr>
            <w:tcW w:w="3848" w:type="dxa"/>
            <w:noWrap/>
          </w:tcPr>
          <w:p w14:paraId="6ADB0188" w14:textId="77777777" w:rsidR="00934F2F" w:rsidRPr="00EC3E49" w:rsidRDefault="00934F2F" w:rsidP="002420B8">
            <w:pPr>
              <w:jc w:val="left"/>
            </w:pPr>
            <w:r>
              <w:rPr>
                <w:b/>
                <w:bCs/>
              </w:rPr>
              <w:t>Discussion in commission</w:t>
            </w:r>
          </w:p>
        </w:tc>
        <w:tc>
          <w:tcPr>
            <w:tcW w:w="5441" w:type="dxa"/>
            <w:noWrap/>
          </w:tcPr>
          <w:p w14:paraId="6ED6A462" w14:textId="54D9181C" w:rsidR="00934F2F" w:rsidRPr="00EC3E49" w:rsidRDefault="00934F2F" w:rsidP="00CB65B5">
            <w:r>
              <w:t>2 April 2019 (to be confirmed)</w:t>
            </w:r>
          </w:p>
        </w:tc>
      </w:tr>
      <w:tr w:rsidR="00934F2F" w:rsidRPr="00EC3E49" w14:paraId="2782F701" w14:textId="77777777" w:rsidTr="002420B8">
        <w:tc>
          <w:tcPr>
            <w:tcW w:w="3848" w:type="dxa"/>
            <w:noWrap/>
          </w:tcPr>
          <w:p w14:paraId="654B7B92" w14:textId="77777777" w:rsidR="00934F2F" w:rsidRPr="00EC3E49" w:rsidRDefault="00934F2F" w:rsidP="002420B8">
            <w:pPr>
              <w:jc w:val="left"/>
            </w:pPr>
            <w:r>
              <w:rPr>
                <w:b/>
                <w:bCs/>
              </w:rPr>
              <w:t>Date adopted by commission</w:t>
            </w:r>
          </w:p>
        </w:tc>
        <w:tc>
          <w:tcPr>
            <w:tcW w:w="5441" w:type="dxa"/>
            <w:noWrap/>
          </w:tcPr>
          <w:p w14:paraId="1BD07771" w14:textId="277EC284" w:rsidR="00934F2F" w:rsidRPr="00EC3E49" w:rsidRDefault="00934F2F" w:rsidP="00CB65B5">
            <w:r>
              <w:t>2 April 2019 (to be confirmed)</w:t>
            </w:r>
          </w:p>
        </w:tc>
      </w:tr>
      <w:tr w:rsidR="00934F2F" w:rsidRPr="00EC3E49" w14:paraId="246C8C2E" w14:textId="77777777" w:rsidTr="002420B8">
        <w:tc>
          <w:tcPr>
            <w:tcW w:w="3848" w:type="dxa"/>
            <w:noWrap/>
          </w:tcPr>
          <w:p w14:paraId="664AA9BE" w14:textId="77777777" w:rsidR="00934F2F" w:rsidRPr="00EC3E49" w:rsidRDefault="00934F2F" w:rsidP="002420B8">
            <w:pPr>
              <w:jc w:val="left"/>
            </w:pPr>
            <w:r>
              <w:rPr>
                <w:b/>
              </w:rPr>
              <w:t>Result of the vote in commission (majority, unanimity)</w:t>
            </w:r>
          </w:p>
        </w:tc>
        <w:tc>
          <w:tcPr>
            <w:tcW w:w="5441" w:type="dxa"/>
            <w:noWrap/>
          </w:tcPr>
          <w:p w14:paraId="595EC9B2" w14:textId="77777777" w:rsidR="00934F2F" w:rsidRPr="00EC3E49" w:rsidRDefault="00934F2F" w:rsidP="00CB65B5"/>
        </w:tc>
      </w:tr>
      <w:tr w:rsidR="00934F2F" w:rsidRPr="00EC3E49" w14:paraId="7E4A8F17" w14:textId="77777777" w:rsidTr="002420B8">
        <w:tc>
          <w:tcPr>
            <w:tcW w:w="3848" w:type="dxa"/>
            <w:noWrap/>
          </w:tcPr>
          <w:p w14:paraId="734A845E" w14:textId="77777777" w:rsidR="00934F2F" w:rsidRPr="00EC3E49" w:rsidRDefault="00934F2F" w:rsidP="002420B8">
            <w:pPr>
              <w:jc w:val="left"/>
            </w:pPr>
            <w:r>
              <w:rPr>
                <w:b/>
                <w:bCs/>
              </w:rPr>
              <w:t>Date adopted in plenary</w:t>
            </w:r>
          </w:p>
        </w:tc>
        <w:tc>
          <w:tcPr>
            <w:tcW w:w="5441" w:type="dxa"/>
            <w:noWrap/>
          </w:tcPr>
          <w:p w14:paraId="0CC50B2E" w14:textId="44F8FB59" w:rsidR="00934F2F" w:rsidRPr="00EC3E49" w:rsidRDefault="00934F2F" w:rsidP="00CB65B5">
            <w:r>
              <w:t>Scheduled for 26 and 27 June 2019</w:t>
            </w:r>
          </w:p>
        </w:tc>
      </w:tr>
      <w:tr w:rsidR="00934F2F" w:rsidRPr="00EC3E49" w14:paraId="0C239962" w14:textId="77777777" w:rsidTr="002420B8">
        <w:tc>
          <w:tcPr>
            <w:tcW w:w="3848" w:type="dxa"/>
            <w:noWrap/>
          </w:tcPr>
          <w:p w14:paraId="0D606C14" w14:textId="55AB40BD" w:rsidR="00934F2F" w:rsidRPr="00EC3E49" w:rsidRDefault="00934F2F" w:rsidP="006E48A3">
            <w:pPr>
              <w:jc w:val="left"/>
            </w:pPr>
            <w:r>
              <w:rPr>
                <w:b/>
                <w:bCs/>
              </w:rPr>
              <w:t>Previous Committee opinions</w:t>
            </w:r>
          </w:p>
        </w:tc>
        <w:tc>
          <w:tcPr>
            <w:tcW w:w="5441" w:type="dxa"/>
            <w:noWrap/>
          </w:tcPr>
          <w:p w14:paraId="69EF390C" w14:textId="77777777" w:rsidR="00934F2F" w:rsidRDefault="00934F2F" w:rsidP="006E48A3">
            <w:r>
              <w:t>Building a stronger Europe: the role of youth, education and culture policies</w:t>
            </w:r>
            <w:r>
              <w:rPr>
                <w:rStyle w:val="FootnoteReference"/>
              </w:rPr>
              <w:footnoteReference w:id="1"/>
            </w:r>
          </w:p>
          <w:p w14:paraId="196C7BDF" w14:textId="77777777" w:rsidR="00934F2F" w:rsidRDefault="00934F2F" w:rsidP="006E48A3">
            <w:r>
              <w:t>Strengthening European Identity through Education and Culture</w:t>
            </w:r>
            <w:r>
              <w:rPr>
                <w:rStyle w:val="FootnoteReference"/>
              </w:rPr>
              <w:footnoteReference w:id="2"/>
            </w:r>
          </w:p>
          <w:p w14:paraId="71D8CCCF" w14:textId="77777777" w:rsidR="00934F2F" w:rsidRPr="004D3E8C" w:rsidRDefault="00934F2F" w:rsidP="006E48A3">
            <w:r>
              <w:t>Modernising school and higher education</w:t>
            </w:r>
            <w:r w:rsidRPr="004D3E8C">
              <w:rPr>
                <w:rStyle w:val="FootnoteReference"/>
              </w:rPr>
              <w:footnoteReference w:id="3"/>
            </w:r>
          </w:p>
          <w:p w14:paraId="2536273F" w14:textId="77777777" w:rsidR="00934F2F" w:rsidRPr="004D3E8C" w:rsidRDefault="00934F2F" w:rsidP="006E48A3">
            <w:r>
              <w:t>Investing in Europe's youth and the European Solidarity Corps</w:t>
            </w:r>
            <w:r w:rsidRPr="004D3E8C">
              <w:rPr>
                <w:rStyle w:val="FootnoteReference"/>
              </w:rPr>
              <w:footnoteReference w:id="4"/>
            </w:r>
          </w:p>
          <w:p w14:paraId="298C7414" w14:textId="77777777" w:rsidR="00934F2F" w:rsidRPr="004D3E8C" w:rsidRDefault="00934F2F" w:rsidP="006E48A3">
            <w:r>
              <w:t>A new skills agenda for Europe</w:t>
            </w:r>
            <w:r w:rsidRPr="004D3E8C">
              <w:rPr>
                <w:rStyle w:val="FootnoteReference"/>
              </w:rPr>
              <w:footnoteReference w:id="5"/>
            </w:r>
          </w:p>
          <w:p w14:paraId="0C4DF517" w14:textId="77777777" w:rsidR="00934F2F" w:rsidRPr="004D3E8C" w:rsidRDefault="00934F2F" w:rsidP="006E48A3">
            <w:pPr>
              <w:rPr>
                <w:rFonts w:eastAsia="PMingLiU"/>
              </w:rPr>
            </w:pPr>
            <w:r>
              <w:t>Recognition of skills and competences acquired through non-formal and informal learning</w:t>
            </w:r>
            <w:r w:rsidRPr="004D3E8C">
              <w:rPr>
                <w:rStyle w:val="FootnoteReference"/>
                <w:rFonts w:eastAsia="PMingLiU"/>
              </w:rPr>
              <w:footnoteReference w:id="6"/>
            </w:r>
          </w:p>
          <w:p w14:paraId="25C03452" w14:textId="77777777" w:rsidR="00934F2F" w:rsidRPr="004D3E8C" w:rsidRDefault="00934F2F" w:rsidP="006E48A3">
            <w:pPr>
              <w:rPr>
                <w:rFonts w:eastAsia="PMingLiU"/>
              </w:rPr>
            </w:pPr>
            <w:r>
              <w:t>Opening up Education</w:t>
            </w:r>
            <w:r w:rsidRPr="004D3E8C">
              <w:rPr>
                <w:rStyle w:val="FootnoteReference"/>
                <w:rFonts w:eastAsia="PMingLiU"/>
              </w:rPr>
              <w:footnoteReference w:id="7"/>
            </w:r>
          </w:p>
          <w:p w14:paraId="59A3F3C5" w14:textId="77777777" w:rsidR="00934F2F" w:rsidRPr="004D3E8C" w:rsidRDefault="00934F2F" w:rsidP="006E48A3">
            <w:pPr>
              <w:rPr>
                <w:rFonts w:eastAsia="PMingLiU"/>
              </w:rPr>
            </w:pPr>
            <w:r>
              <w:t>European higher education in the world</w:t>
            </w:r>
            <w:r w:rsidRPr="004D3E8C">
              <w:rPr>
                <w:rStyle w:val="FootnoteReference"/>
                <w:rFonts w:eastAsia="PMingLiU"/>
              </w:rPr>
              <w:footnoteReference w:id="8"/>
            </w:r>
          </w:p>
          <w:p w14:paraId="01CBBF70" w14:textId="77777777" w:rsidR="00934F2F" w:rsidRPr="004D3E8C" w:rsidRDefault="00934F2F" w:rsidP="006E48A3">
            <w:pPr>
              <w:rPr>
                <w:rFonts w:eastAsia="PMingLiU"/>
              </w:rPr>
            </w:pPr>
            <w:r>
              <w:t>Rethinking education</w:t>
            </w:r>
            <w:r w:rsidRPr="004D3E8C">
              <w:rPr>
                <w:rStyle w:val="FootnoteReference"/>
                <w:rFonts w:eastAsia="PMingLiU"/>
              </w:rPr>
              <w:footnoteReference w:id="9"/>
            </w:r>
          </w:p>
          <w:p w14:paraId="007BCA43" w14:textId="77777777" w:rsidR="00934F2F" w:rsidRPr="004D3E8C" w:rsidRDefault="00934F2F" w:rsidP="006E48A3">
            <w:pPr>
              <w:rPr>
                <w:rFonts w:eastAsia="PMingLiU"/>
              </w:rPr>
            </w:pPr>
            <w:r>
              <w:lastRenderedPageBreak/>
              <w:t>Erasmus for All</w:t>
            </w:r>
            <w:r w:rsidRPr="004D3E8C">
              <w:rPr>
                <w:rStyle w:val="FootnoteReference"/>
                <w:rFonts w:eastAsia="PMingLiU"/>
              </w:rPr>
              <w:footnoteReference w:id="10"/>
            </w:r>
          </w:p>
          <w:p w14:paraId="471F0585" w14:textId="280B2404" w:rsidR="00934F2F" w:rsidRPr="00EC3E49" w:rsidRDefault="00934F2F" w:rsidP="006E48A3">
            <w:r>
              <w:t>Promoting the active citizenship of young people through education</w:t>
            </w:r>
            <w:r w:rsidRPr="004D3E8C">
              <w:rPr>
                <w:rStyle w:val="FootnoteReference"/>
                <w:rFonts w:eastAsia="PMingLiU"/>
              </w:rPr>
              <w:footnoteReference w:id="11"/>
            </w:r>
          </w:p>
        </w:tc>
      </w:tr>
      <w:tr w:rsidR="00934F2F" w:rsidRPr="00EC3E49" w14:paraId="086369FE" w14:textId="77777777" w:rsidTr="002420B8">
        <w:tc>
          <w:tcPr>
            <w:tcW w:w="3848" w:type="dxa"/>
            <w:noWrap/>
          </w:tcPr>
          <w:p w14:paraId="4CC004D1" w14:textId="77777777" w:rsidR="00934F2F" w:rsidRPr="00EC3E49" w:rsidRDefault="00934F2F" w:rsidP="002420B8">
            <w:pPr>
              <w:jc w:val="left"/>
              <w:rPr>
                <w:b/>
                <w:bCs/>
              </w:rPr>
            </w:pPr>
            <w:r>
              <w:rPr>
                <w:b/>
              </w:rPr>
              <w:lastRenderedPageBreak/>
              <w:t>Date of subsidiarity monitoring consultation</w:t>
            </w:r>
          </w:p>
        </w:tc>
        <w:tc>
          <w:tcPr>
            <w:tcW w:w="5441" w:type="dxa"/>
            <w:noWrap/>
          </w:tcPr>
          <w:p w14:paraId="7D8592F3" w14:textId="302D4CC7" w:rsidR="00934F2F" w:rsidRPr="00EC3E49" w:rsidRDefault="00934F2F" w:rsidP="00CB65B5">
            <w:r>
              <w:t>Not applicable</w:t>
            </w:r>
          </w:p>
        </w:tc>
      </w:tr>
    </w:tbl>
    <w:p w14:paraId="68E5F689" w14:textId="77777777" w:rsidR="00DC6B55" w:rsidRPr="00EC3E49" w:rsidRDefault="00DC6B55" w:rsidP="00CB65B5"/>
    <w:p w14:paraId="592FC7A0" w14:textId="77777777" w:rsidR="00DC6B55" w:rsidRPr="00EC3E49" w:rsidRDefault="00DC6B55" w:rsidP="00CB65B5">
      <w:pPr>
        <w:jc w:val="center"/>
      </w:pPr>
      <w:r>
        <w:t>_____________</w:t>
      </w:r>
    </w:p>
    <w:sectPr w:rsidR="00DC6B55" w:rsidRPr="00EC3E49" w:rsidSect="008631B2">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DD3E" w14:textId="77777777" w:rsidR="004B2357" w:rsidRDefault="004B2357">
      <w:r>
        <w:separator/>
      </w:r>
    </w:p>
  </w:endnote>
  <w:endnote w:type="continuationSeparator" w:id="0">
    <w:p w14:paraId="5245C85A" w14:textId="77777777" w:rsidR="004B2357" w:rsidRDefault="004B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DF131" w14:textId="40E440D4" w:rsidR="002420B8" w:rsidRPr="008631B2" w:rsidRDefault="008631B2" w:rsidP="008631B2">
    <w:pPr>
      <w:pStyle w:val="Footer"/>
    </w:pPr>
    <w:r>
      <w:t xml:space="preserve">COR-2018-06435-00-01-DT-TRA (EN/HU) </w:t>
    </w:r>
    <w:r>
      <w:fldChar w:fldCharType="begin"/>
    </w:r>
    <w:r>
      <w:instrText xml:space="preserve"> PAGE  \* Arabic  \* MERGEFORMAT </w:instrText>
    </w:r>
    <w:r>
      <w:fldChar w:fldCharType="separate"/>
    </w:r>
    <w:r w:rsidR="00996D27">
      <w:rPr>
        <w:noProof/>
      </w:rPr>
      <w:t>1</w:t>
    </w:r>
    <w:r>
      <w:fldChar w:fldCharType="end"/>
    </w:r>
    <w:r>
      <w:t>/</w:t>
    </w:r>
    <w:r w:rsidR="00996D27">
      <w:rPr>
        <w:noProof/>
      </w:rPr>
      <w:fldChar w:fldCharType="begin"/>
    </w:r>
    <w:r w:rsidR="00996D27">
      <w:rPr>
        <w:noProof/>
      </w:rPr>
      <w:instrText xml:space="preserve"> NUMPAGES </w:instrText>
    </w:r>
    <w:r w:rsidR="00996D27">
      <w:rPr>
        <w:noProof/>
      </w:rPr>
      <w:fldChar w:fldCharType="separate"/>
    </w:r>
    <w:r w:rsidR="00996D27">
      <w:rPr>
        <w:noProof/>
      </w:rPr>
      <w:t>6</w:t>
    </w:r>
    <w:r w:rsidR="00996D2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65599" w14:textId="77777777" w:rsidR="00A2443B" w:rsidRPr="008631B2" w:rsidRDefault="00A2443B" w:rsidP="00863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26DA" w14:textId="5A18F648" w:rsidR="00A2443B" w:rsidRPr="008631B2" w:rsidRDefault="008631B2" w:rsidP="008631B2">
    <w:pPr>
      <w:pStyle w:val="Footer"/>
    </w:pPr>
    <w:r>
      <w:t xml:space="preserve">COR-2018-06435-00-01-DT-TRA (EN/HU) </w:t>
    </w:r>
    <w:r>
      <w:fldChar w:fldCharType="begin"/>
    </w:r>
    <w:r>
      <w:instrText xml:space="preserve"> PAGE  \* Arabic  \* MERGEFORMAT </w:instrText>
    </w:r>
    <w:r>
      <w:fldChar w:fldCharType="separate"/>
    </w:r>
    <w:r w:rsidR="00996D27">
      <w:rPr>
        <w:noProof/>
      </w:rPr>
      <w:t>3</w:t>
    </w:r>
    <w:r>
      <w:fldChar w:fldCharType="end"/>
    </w:r>
    <w:r>
      <w:t>/</w:t>
    </w:r>
    <w:r w:rsidR="00205B63">
      <w:rPr>
        <w:noProof/>
      </w:rPr>
      <w:fldChar w:fldCharType="begin"/>
    </w:r>
    <w:r w:rsidR="00205B63">
      <w:rPr>
        <w:noProof/>
      </w:rPr>
      <w:instrText xml:space="preserve"> NUMPAGES </w:instrText>
    </w:r>
    <w:r w:rsidR="00205B63">
      <w:rPr>
        <w:noProof/>
      </w:rPr>
      <w:fldChar w:fldCharType="separate"/>
    </w:r>
    <w:r w:rsidR="00996D27">
      <w:rPr>
        <w:noProof/>
      </w:rPr>
      <w:t>6</w:t>
    </w:r>
    <w:r w:rsidR="00205B6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F2FB6" w14:textId="77777777" w:rsidR="00A2443B" w:rsidRPr="008631B2" w:rsidRDefault="00A2443B" w:rsidP="00863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D5CFC" w14:textId="77777777" w:rsidR="004B2357" w:rsidRDefault="004B2357">
      <w:r>
        <w:separator/>
      </w:r>
    </w:p>
  </w:footnote>
  <w:footnote w:type="continuationSeparator" w:id="0">
    <w:p w14:paraId="56181A37" w14:textId="77777777" w:rsidR="004B2357" w:rsidRDefault="004B2357">
      <w:r>
        <w:continuationSeparator/>
      </w:r>
    </w:p>
  </w:footnote>
  <w:footnote w:id="1">
    <w:p w14:paraId="4E71765A" w14:textId="77777777" w:rsidR="00934F2F" w:rsidRPr="00012D36" w:rsidRDefault="00934F2F">
      <w:pPr>
        <w:pStyle w:val="FootnoteText"/>
        <w:rPr>
          <w:szCs w:val="16"/>
        </w:rPr>
      </w:pPr>
      <w:r>
        <w:rPr>
          <w:rStyle w:val="FootnoteReference"/>
          <w:szCs w:val="16"/>
        </w:rPr>
        <w:footnoteRef/>
      </w:r>
      <w:r>
        <w:t xml:space="preserve"> </w:t>
      </w:r>
      <w:r>
        <w:tab/>
        <w:t>COR 03952/2018.</w:t>
      </w:r>
    </w:p>
  </w:footnote>
  <w:footnote w:id="2">
    <w:p w14:paraId="71D63DAC" w14:textId="77777777" w:rsidR="00934F2F" w:rsidRPr="00012D36" w:rsidRDefault="00934F2F">
      <w:pPr>
        <w:pStyle w:val="FootnoteText"/>
        <w:rPr>
          <w:szCs w:val="16"/>
        </w:rPr>
      </w:pPr>
      <w:r>
        <w:rPr>
          <w:rStyle w:val="FootnoteReference"/>
          <w:szCs w:val="16"/>
        </w:rPr>
        <w:footnoteRef/>
      </w:r>
      <w:r>
        <w:t xml:space="preserve"> </w:t>
      </w:r>
      <w:r>
        <w:tab/>
        <w:t>COR 6048/2017.</w:t>
      </w:r>
    </w:p>
  </w:footnote>
  <w:footnote w:id="3">
    <w:p w14:paraId="4308EDAA" w14:textId="77777777" w:rsidR="00934F2F" w:rsidRPr="00012D36" w:rsidRDefault="00934F2F">
      <w:pPr>
        <w:pStyle w:val="FootnoteText"/>
        <w:rPr>
          <w:szCs w:val="16"/>
        </w:rPr>
      </w:pPr>
      <w:r>
        <w:rPr>
          <w:rStyle w:val="FootnoteReference"/>
          <w:szCs w:val="16"/>
        </w:rPr>
        <w:footnoteRef/>
      </w:r>
      <w:r>
        <w:t xml:space="preserve"> </w:t>
      </w:r>
      <w:r>
        <w:tab/>
        <w:t>COR 3139/2017.</w:t>
      </w:r>
    </w:p>
  </w:footnote>
  <w:footnote w:id="4">
    <w:p w14:paraId="4892681A" w14:textId="77777777" w:rsidR="00934F2F" w:rsidRPr="00012D36" w:rsidRDefault="00934F2F">
      <w:pPr>
        <w:pStyle w:val="FootnoteText"/>
        <w:rPr>
          <w:szCs w:val="16"/>
        </w:rPr>
      </w:pPr>
      <w:r>
        <w:rPr>
          <w:rStyle w:val="FootnoteReference"/>
          <w:szCs w:val="16"/>
        </w:rPr>
        <w:footnoteRef/>
      </w:r>
      <w:r>
        <w:t xml:space="preserve"> </w:t>
      </w:r>
      <w:r>
        <w:tab/>
        <w:t>COR 851/2017.</w:t>
      </w:r>
    </w:p>
  </w:footnote>
  <w:footnote w:id="5">
    <w:p w14:paraId="33B08304" w14:textId="77777777" w:rsidR="00934F2F" w:rsidRPr="00012D36" w:rsidRDefault="00934F2F">
      <w:pPr>
        <w:pStyle w:val="FootnoteText"/>
        <w:rPr>
          <w:szCs w:val="16"/>
        </w:rPr>
      </w:pPr>
      <w:r>
        <w:rPr>
          <w:rStyle w:val="FootnoteReference"/>
          <w:szCs w:val="16"/>
        </w:rPr>
        <w:footnoteRef/>
      </w:r>
      <w:r>
        <w:t xml:space="preserve"> </w:t>
      </w:r>
      <w:r>
        <w:tab/>
        <w:t>COR 4094/2016.</w:t>
      </w:r>
    </w:p>
  </w:footnote>
  <w:footnote w:id="6">
    <w:p w14:paraId="159EF491" w14:textId="77777777" w:rsidR="00934F2F" w:rsidRPr="00012D36" w:rsidRDefault="00934F2F" w:rsidP="001D4FF4">
      <w:pPr>
        <w:pStyle w:val="FootnoteText"/>
        <w:rPr>
          <w:szCs w:val="16"/>
        </w:rPr>
      </w:pPr>
      <w:r>
        <w:rPr>
          <w:rStyle w:val="FootnoteReference"/>
          <w:szCs w:val="16"/>
        </w:rPr>
        <w:footnoteRef/>
      </w:r>
      <w:r>
        <w:t xml:space="preserve"> </w:t>
      </w:r>
      <w:r>
        <w:tab/>
        <w:t>COR 3921/2014.</w:t>
      </w:r>
    </w:p>
  </w:footnote>
  <w:footnote w:id="7">
    <w:p w14:paraId="0E19166D" w14:textId="77777777" w:rsidR="00934F2F" w:rsidRPr="00012D36" w:rsidRDefault="00934F2F" w:rsidP="001D4FF4">
      <w:pPr>
        <w:pStyle w:val="FootnoteText"/>
        <w:rPr>
          <w:szCs w:val="16"/>
        </w:rPr>
      </w:pPr>
      <w:r>
        <w:rPr>
          <w:rStyle w:val="FootnoteReference"/>
          <w:szCs w:val="16"/>
        </w:rPr>
        <w:footnoteRef/>
      </w:r>
      <w:r>
        <w:t xml:space="preserve"> </w:t>
      </w:r>
      <w:r>
        <w:tab/>
        <w:t>COR 6183/2013.</w:t>
      </w:r>
    </w:p>
  </w:footnote>
  <w:footnote w:id="8">
    <w:p w14:paraId="737E0C77" w14:textId="77777777" w:rsidR="00934F2F" w:rsidRPr="00012D36" w:rsidRDefault="00934F2F" w:rsidP="001D4FF4">
      <w:pPr>
        <w:pStyle w:val="FootnoteText"/>
        <w:rPr>
          <w:szCs w:val="16"/>
        </w:rPr>
      </w:pPr>
      <w:r>
        <w:rPr>
          <w:rStyle w:val="FootnoteReference"/>
          <w:szCs w:val="16"/>
        </w:rPr>
        <w:footnoteRef/>
      </w:r>
      <w:r>
        <w:t xml:space="preserve"> </w:t>
      </w:r>
      <w:r>
        <w:tab/>
        <w:t>CDR 5961/2013.</w:t>
      </w:r>
    </w:p>
  </w:footnote>
  <w:footnote w:id="9">
    <w:p w14:paraId="45B12C43" w14:textId="77777777" w:rsidR="00934F2F" w:rsidRPr="00012D36" w:rsidRDefault="00934F2F" w:rsidP="001D4FF4">
      <w:pPr>
        <w:pStyle w:val="FootnoteText"/>
        <w:rPr>
          <w:szCs w:val="16"/>
        </w:rPr>
      </w:pPr>
      <w:r>
        <w:rPr>
          <w:rStyle w:val="FootnoteReference"/>
          <w:szCs w:val="16"/>
        </w:rPr>
        <w:footnoteRef/>
      </w:r>
      <w:r>
        <w:t xml:space="preserve"> </w:t>
      </w:r>
      <w:r>
        <w:tab/>
        <w:t>CDR 2392/2012.</w:t>
      </w:r>
    </w:p>
  </w:footnote>
  <w:footnote w:id="10">
    <w:p w14:paraId="38FBE9EC" w14:textId="77777777" w:rsidR="00934F2F" w:rsidRPr="00012D36" w:rsidRDefault="00934F2F" w:rsidP="001D4FF4">
      <w:pPr>
        <w:pStyle w:val="FootnoteText"/>
        <w:rPr>
          <w:szCs w:val="16"/>
        </w:rPr>
      </w:pPr>
      <w:r>
        <w:rPr>
          <w:rStyle w:val="FootnoteReference"/>
          <w:szCs w:val="16"/>
        </w:rPr>
        <w:footnoteRef/>
      </w:r>
      <w:r>
        <w:t xml:space="preserve"> </w:t>
      </w:r>
      <w:r>
        <w:tab/>
        <w:t>CDR 400/2011.</w:t>
      </w:r>
    </w:p>
  </w:footnote>
  <w:footnote w:id="11">
    <w:p w14:paraId="3349C592" w14:textId="77777777" w:rsidR="00934F2F" w:rsidRPr="00012D36" w:rsidRDefault="00934F2F">
      <w:pPr>
        <w:pStyle w:val="FootnoteText"/>
        <w:rPr>
          <w:szCs w:val="16"/>
        </w:rPr>
      </w:pPr>
      <w:r>
        <w:rPr>
          <w:rStyle w:val="FootnoteReference"/>
          <w:szCs w:val="16"/>
        </w:rPr>
        <w:footnoteRef/>
      </w:r>
      <w:r>
        <w:t xml:space="preserve"> </w:t>
      </w:r>
      <w:r>
        <w:tab/>
      </w:r>
      <w:proofErr w:type="spellStart"/>
      <w:r>
        <w:t>CdR</w:t>
      </w:r>
      <w:proofErr w:type="spellEnd"/>
      <w:r>
        <w:t xml:space="preserve"> 173/2007.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458AF" w14:textId="77777777" w:rsidR="00A2443B" w:rsidRPr="008631B2" w:rsidRDefault="00A2443B" w:rsidP="00863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BCB9" w14:textId="50E49F2C" w:rsidR="00A2443B" w:rsidRPr="008631B2" w:rsidRDefault="00A2443B" w:rsidP="00863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550C" w14:textId="77777777" w:rsidR="00A2443B" w:rsidRPr="008631B2" w:rsidRDefault="00A2443B" w:rsidP="0086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1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848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18F1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7657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263D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FA5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221C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246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E6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AE0D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11E40F4A"/>
    <w:multiLevelType w:val="hybridMultilevel"/>
    <w:tmpl w:val="7228DB6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54697D"/>
    <w:multiLevelType w:val="hybridMultilevel"/>
    <w:tmpl w:val="7576BDE0"/>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22960A7F"/>
    <w:multiLevelType w:val="hybridMultilevel"/>
    <w:tmpl w:val="B9D25A84"/>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297B0160"/>
    <w:multiLevelType w:val="hybridMultilevel"/>
    <w:tmpl w:val="E9C829AE"/>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15:restartNumberingAfterBreak="0">
    <w:nsid w:val="353D2FE9"/>
    <w:multiLevelType w:val="hybridMultilevel"/>
    <w:tmpl w:val="A0F8C01A"/>
    <w:lvl w:ilvl="0" w:tplc="062C0F9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9E96977"/>
    <w:multiLevelType w:val="hybridMultilevel"/>
    <w:tmpl w:val="7C344B1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AC56566"/>
    <w:multiLevelType w:val="hybridMultilevel"/>
    <w:tmpl w:val="A50C394E"/>
    <w:lvl w:ilvl="0" w:tplc="87125F4E">
      <w:start w:val="1"/>
      <w:numFmt w:val="bullet"/>
      <w:lvlText w:val=""/>
      <w:lvlJc w:val="left"/>
      <w:pPr>
        <w:tabs>
          <w:tab w:val="num" w:pos="720"/>
        </w:tabs>
        <w:ind w:left="108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18" w15:restartNumberingAfterBreak="0">
    <w:nsid w:val="3ACF609D"/>
    <w:multiLevelType w:val="hybridMultilevel"/>
    <w:tmpl w:val="755498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E7D78EF"/>
    <w:multiLevelType w:val="hybridMultilevel"/>
    <w:tmpl w:val="51AA6D0A"/>
    <w:lvl w:ilvl="0" w:tplc="23969108">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9BDE0DC2">
      <w:start w:val="1"/>
      <w:numFmt w:val="bullet"/>
      <w:lvlText w:val=""/>
      <w:lvlJc w:val="left"/>
      <w:pPr>
        <w:tabs>
          <w:tab w:val="num" w:pos="1080"/>
        </w:tabs>
        <w:ind w:left="1449" w:hanging="369"/>
      </w:pPr>
      <w:rPr>
        <w:rFonts w:ascii="Times New Roman" w:hAnsi="Times New Roman" w:cs="Times New Roman" w:hint="default"/>
        <w:b w:val="0"/>
        <w:bCs w:val="0"/>
        <w:i w:val="0"/>
        <w:iCs w:val="0"/>
        <w:sz w:val="22"/>
        <w:szCs w:val="22"/>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3F6D6FF8"/>
    <w:multiLevelType w:val="hybridMultilevel"/>
    <w:tmpl w:val="ABC66076"/>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1" w15:restartNumberingAfterBreak="0">
    <w:nsid w:val="40357B7A"/>
    <w:multiLevelType w:val="hybridMultilevel"/>
    <w:tmpl w:val="51AA6D0A"/>
    <w:lvl w:ilvl="0" w:tplc="8BFAA160">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9BDE0DC2">
      <w:start w:val="1"/>
      <w:numFmt w:val="bullet"/>
      <w:lvlText w:val=""/>
      <w:lvlJc w:val="left"/>
      <w:pPr>
        <w:tabs>
          <w:tab w:val="num" w:pos="1080"/>
        </w:tabs>
        <w:ind w:left="1449" w:hanging="369"/>
      </w:pPr>
      <w:rPr>
        <w:rFonts w:ascii="Times New Roman" w:hAnsi="Times New Roman" w:cs="Times New Roman" w:hint="default"/>
        <w:b w:val="0"/>
        <w:bCs w:val="0"/>
        <w:i w:val="0"/>
        <w:iCs w:val="0"/>
        <w:sz w:val="22"/>
        <w:szCs w:val="22"/>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4C227B42"/>
    <w:multiLevelType w:val="hybridMultilevel"/>
    <w:tmpl w:val="D7C6597E"/>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57006791"/>
    <w:multiLevelType w:val="hybridMultilevel"/>
    <w:tmpl w:val="00D896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65A12"/>
    <w:multiLevelType w:val="hybridMultilevel"/>
    <w:tmpl w:val="36164AD6"/>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65D91568"/>
    <w:multiLevelType w:val="hybridMultilevel"/>
    <w:tmpl w:val="F4DE7EBC"/>
    <w:lvl w:ilvl="0" w:tplc="9BDE0DC2">
      <w:start w:val="1"/>
      <w:numFmt w:val="bullet"/>
      <w:lvlText w:val=""/>
      <w:lvlJc w:val="left"/>
      <w:pPr>
        <w:tabs>
          <w:tab w:val="num" w:pos="0"/>
        </w:tabs>
        <w:ind w:left="36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6E063133"/>
    <w:multiLevelType w:val="hybridMultilevel"/>
    <w:tmpl w:val="37BA42EA"/>
    <w:lvl w:ilvl="0" w:tplc="61429412">
      <w:start w:val="1"/>
      <w:numFmt w:val="bullet"/>
      <w:lvlText w:val="–"/>
      <w:lvlJc w:val="left"/>
      <w:pPr>
        <w:tabs>
          <w:tab w:val="num" w:pos="1089"/>
        </w:tabs>
        <w:ind w:left="1089" w:hanging="369"/>
      </w:pPr>
      <w:rPr>
        <w:rFonts w:ascii="Times New Roman" w:hAnsi="Times New Roman" w:cs="Times New Roman" w:hint="default"/>
        <w:b w:val="0"/>
        <w:bCs w:val="0"/>
        <w:i w:val="0"/>
        <w:iCs w:val="0"/>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num w:numId="1">
    <w:abstractNumId w:val="10"/>
  </w:num>
  <w:num w:numId="2">
    <w:abstractNumId w:val="17"/>
  </w:num>
  <w:num w:numId="3">
    <w:abstractNumId w:val="26"/>
  </w:num>
  <w:num w:numId="4">
    <w:abstractNumId w:val="19"/>
  </w:num>
  <w:num w:numId="5">
    <w:abstractNumId w:val="21"/>
  </w:num>
  <w:num w:numId="6">
    <w:abstractNumId w:val="14"/>
  </w:num>
  <w:num w:numId="7">
    <w:abstractNumId w:val="12"/>
  </w:num>
  <w:num w:numId="8">
    <w:abstractNumId w:val="25"/>
  </w:num>
  <w:num w:numId="9">
    <w:abstractNumId w:val="22"/>
  </w:num>
  <w:num w:numId="10">
    <w:abstractNumId w:val="24"/>
  </w:num>
  <w:num w:numId="11">
    <w:abstractNumId w:val="13"/>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5"/>
  </w:num>
  <w:num w:numId="25">
    <w:abstractNumId w:val="18"/>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23D1D"/>
    <w:rsid w:val="00033058"/>
    <w:rsid w:val="00037D1F"/>
    <w:rsid w:val="000554A7"/>
    <w:rsid w:val="000615B3"/>
    <w:rsid w:val="00081B8A"/>
    <w:rsid w:val="00085F65"/>
    <w:rsid w:val="000967AB"/>
    <w:rsid w:val="000A388E"/>
    <w:rsid w:val="000A6FAC"/>
    <w:rsid w:val="000B241D"/>
    <w:rsid w:val="000B5F4A"/>
    <w:rsid w:val="000D6E91"/>
    <w:rsid w:val="000E353D"/>
    <w:rsid w:val="000E4D3D"/>
    <w:rsid w:val="000E73F5"/>
    <w:rsid w:val="00106E38"/>
    <w:rsid w:val="0011279A"/>
    <w:rsid w:val="0013768F"/>
    <w:rsid w:val="00144830"/>
    <w:rsid w:val="001450BD"/>
    <w:rsid w:val="0014621A"/>
    <w:rsid w:val="00171330"/>
    <w:rsid w:val="00173C43"/>
    <w:rsid w:val="001A3BCA"/>
    <w:rsid w:val="001B369D"/>
    <w:rsid w:val="001C26A2"/>
    <w:rsid w:val="001D3B08"/>
    <w:rsid w:val="001E3E82"/>
    <w:rsid w:val="001F3CBB"/>
    <w:rsid w:val="00202041"/>
    <w:rsid w:val="00205593"/>
    <w:rsid w:val="00205B63"/>
    <w:rsid w:val="00206770"/>
    <w:rsid w:val="002420B8"/>
    <w:rsid w:val="00254B94"/>
    <w:rsid w:val="00256651"/>
    <w:rsid w:val="00261090"/>
    <w:rsid w:val="00263B55"/>
    <w:rsid w:val="00285B08"/>
    <w:rsid w:val="002900DA"/>
    <w:rsid w:val="00297C1C"/>
    <w:rsid w:val="002D0720"/>
    <w:rsid w:val="002F03D6"/>
    <w:rsid w:val="002F4250"/>
    <w:rsid w:val="00320E01"/>
    <w:rsid w:val="00325CB8"/>
    <w:rsid w:val="003265C2"/>
    <w:rsid w:val="00340C0E"/>
    <w:rsid w:val="0034475A"/>
    <w:rsid w:val="003531A9"/>
    <w:rsid w:val="0035740C"/>
    <w:rsid w:val="00361FB1"/>
    <w:rsid w:val="003842E6"/>
    <w:rsid w:val="003A2BC0"/>
    <w:rsid w:val="003D4E50"/>
    <w:rsid w:val="003D64EE"/>
    <w:rsid w:val="003E4F5F"/>
    <w:rsid w:val="003E6885"/>
    <w:rsid w:val="004120FE"/>
    <w:rsid w:val="00412C22"/>
    <w:rsid w:val="00415C49"/>
    <w:rsid w:val="004217FF"/>
    <w:rsid w:val="00436DA9"/>
    <w:rsid w:val="00450516"/>
    <w:rsid w:val="00461B6D"/>
    <w:rsid w:val="00467891"/>
    <w:rsid w:val="00470159"/>
    <w:rsid w:val="00470921"/>
    <w:rsid w:val="004917DA"/>
    <w:rsid w:val="00497319"/>
    <w:rsid w:val="004A5AF4"/>
    <w:rsid w:val="004A7E9C"/>
    <w:rsid w:val="004B2357"/>
    <w:rsid w:val="004B2FA2"/>
    <w:rsid w:val="004C43A0"/>
    <w:rsid w:val="004C4DEB"/>
    <w:rsid w:val="004D4D6B"/>
    <w:rsid w:val="004D7830"/>
    <w:rsid w:val="004E6A2F"/>
    <w:rsid w:val="004F1AF8"/>
    <w:rsid w:val="005002D8"/>
    <w:rsid w:val="00506F12"/>
    <w:rsid w:val="005157D6"/>
    <w:rsid w:val="00530245"/>
    <w:rsid w:val="00546CC6"/>
    <w:rsid w:val="00553482"/>
    <w:rsid w:val="00554E02"/>
    <w:rsid w:val="00567236"/>
    <w:rsid w:val="00573F4C"/>
    <w:rsid w:val="00590579"/>
    <w:rsid w:val="005940F2"/>
    <w:rsid w:val="005A13D6"/>
    <w:rsid w:val="005A23E0"/>
    <w:rsid w:val="005A2944"/>
    <w:rsid w:val="005A7C7F"/>
    <w:rsid w:val="005C4F1C"/>
    <w:rsid w:val="005C5B8D"/>
    <w:rsid w:val="005D31A6"/>
    <w:rsid w:val="005D4859"/>
    <w:rsid w:val="005D4BF6"/>
    <w:rsid w:val="005E0115"/>
    <w:rsid w:val="005E5448"/>
    <w:rsid w:val="005E5529"/>
    <w:rsid w:val="005E67B4"/>
    <w:rsid w:val="005F106F"/>
    <w:rsid w:val="005F6E49"/>
    <w:rsid w:val="0060761C"/>
    <w:rsid w:val="00625598"/>
    <w:rsid w:val="0064218E"/>
    <w:rsid w:val="00645797"/>
    <w:rsid w:val="00646BFB"/>
    <w:rsid w:val="006556C8"/>
    <w:rsid w:val="006723B4"/>
    <w:rsid w:val="006752B0"/>
    <w:rsid w:val="00691AFD"/>
    <w:rsid w:val="006A66E6"/>
    <w:rsid w:val="006B4643"/>
    <w:rsid w:val="006B70E0"/>
    <w:rsid w:val="006C1D67"/>
    <w:rsid w:val="006C66B7"/>
    <w:rsid w:val="006C70FB"/>
    <w:rsid w:val="006D5FCE"/>
    <w:rsid w:val="006E0A85"/>
    <w:rsid w:val="006E0EF7"/>
    <w:rsid w:val="006E48A3"/>
    <w:rsid w:val="006F1C89"/>
    <w:rsid w:val="00704805"/>
    <w:rsid w:val="007273C3"/>
    <w:rsid w:val="00743B10"/>
    <w:rsid w:val="00747A29"/>
    <w:rsid w:val="0076428A"/>
    <w:rsid w:val="007771AB"/>
    <w:rsid w:val="007A01D2"/>
    <w:rsid w:val="007B3C20"/>
    <w:rsid w:val="007C2BA9"/>
    <w:rsid w:val="007E072B"/>
    <w:rsid w:val="00814B11"/>
    <w:rsid w:val="00816757"/>
    <w:rsid w:val="008332D0"/>
    <w:rsid w:val="00837FA5"/>
    <w:rsid w:val="008452EC"/>
    <w:rsid w:val="008560F9"/>
    <w:rsid w:val="00857995"/>
    <w:rsid w:val="008631B2"/>
    <w:rsid w:val="00871ADE"/>
    <w:rsid w:val="00890AB8"/>
    <w:rsid w:val="00895197"/>
    <w:rsid w:val="008B11FE"/>
    <w:rsid w:val="008C107D"/>
    <w:rsid w:val="008C44C8"/>
    <w:rsid w:val="008C78F8"/>
    <w:rsid w:val="008D293C"/>
    <w:rsid w:val="008D3528"/>
    <w:rsid w:val="008D407C"/>
    <w:rsid w:val="008D45C1"/>
    <w:rsid w:val="00900088"/>
    <w:rsid w:val="00917514"/>
    <w:rsid w:val="00926EB8"/>
    <w:rsid w:val="00934F2F"/>
    <w:rsid w:val="00946E1F"/>
    <w:rsid w:val="0096683A"/>
    <w:rsid w:val="00966E6B"/>
    <w:rsid w:val="009735B1"/>
    <w:rsid w:val="00974D15"/>
    <w:rsid w:val="00996D27"/>
    <w:rsid w:val="009A2278"/>
    <w:rsid w:val="009B2DC8"/>
    <w:rsid w:val="009B4FDF"/>
    <w:rsid w:val="009D5C85"/>
    <w:rsid w:val="009F7F14"/>
    <w:rsid w:val="00A012E5"/>
    <w:rsid w:val="00A02268"/>
    <w:rsid w:val="00A2443B"/>
    <w:rsid w:val="00A30F75"/>
    <w:rsid w:val="00A4321D"/>
    <w:rsid w:val="00A73F0D"/>
    <w:rsid w:val="00A7793F"/>
    <w:rsid w:val="00A8460D"/>
    <w:rsid w:val="00AA017A"/>
    <w:rsid w:val="00AA6D31"/>
    <w:rsid w:val="00AB6C57"/>
    <w:rsid w:val="00AC5DF7"/>
    <w:rsid w:val="00AF2DB7"/>
    <w:rsid w:val="00AF4995"/>
    <w:rsid w:val="00AF5F6E"/>
    <w:rsid w:val="00B013AB"/>
    <w:rsid w:val="00B01D22"/>
    <w:rsid w:val="00B06CEC"/>
    <w:rsid w:val="00B442F7"/>
    <w:rsid w:val="00B52416"/>
    <w:rsid w:val="00B60672"/>
    <w:rsid w:val="00B750A2"/>
    <w:rsid w:val="00B75644"/>
    <w:rsid w:val="00B77922"/>
    <w:rsid w:val="00B77CF4"/>
    <w:rsid w:val="00B8334B"/>
    <w:rsid w:val="00B96144"/>
    <w:rsid w:val="00BC05F6"/>
    <w:rsid w:val="00BC19E5"/>
    <w:rsid w:val="00BD3C3B"/>
    <w:rsid w:val="00BE09DB"/>
    <w:rsid w:val="00BF7AE7"/>
    <w:rsid w:val="00C02BA7"/>
    <w:rsid w:val="00C03267"/>
    <w:rsid w:val="00C070EE"/>
    <w:rsid w:val="00C13BFE"/>
    <w:rsid w:val="00C16DA8"/>
    <w:rsid w:val="00C25F86"/>
    <w:rsid w:val="00C41587"/>
    <w:rsid w:val="00C639CA"/>
    <w:rsid w:val="00C65021"/>
    <w:rsid w:val="00C74527"/>
    <w:rsid w:val="00CA0382"/>
    <w:rsid w:val="00CB3034"/>
    <w:rsid w:val="00CB65B5"/>
    <w:rsid w:val="00CC48CC"/>
    <w:rsid w:val="00CD0478"/>
    <w:rsid w:val="00CD4EB3"/>
    <w:rsid w:val="00CD5A2E"/>
    <w:rsid w:val="00CE4ACA"/>
    <w:rsid w:val="00CE58A7"/>
    <w:rsid w:val="00D002BE"/>
    <w:rsid w:val="00D04705"/>
    <w:rsid w:val="00D078B0"/>
    <w:rsid w:val="00D20437"/>
    <w:rsid w:val="00D2166F"/>
    <w:rsid w:val="00D2340D"/>
    <w:rsid w:val="00D25C3E"/>
    <w:rsid w:val="00D5162F"/>
    <w:rsid w:val="00D5448D"/>
    <w:rsid w:val="00D71E4C"/>
    <w:rsid w:val="00D83A28"/>
    <w:rsid w:val="00DC20A6"/>
    <w:rsid w:val="00DC6B55"/>
    <w:rsid w:val="00DC75BC"/>
    <w:rsid w:val="00DE13D7"/>
    <w:rsid w:val="00DE37DB"/>
    <w:rsid w:val="00DE3B23"/>
    <w:rsid w:val="00DF0CE2"/>
    <w:rsid w:val="00DF1F0D"/>
    <w:rsid w:val="00DF6C5D"/>
    <w:rsid w:val="00DF7FCE"/>
    <w:rsid w:val="00E20A32"/>
    <w:rsid w:val="00E303DB"/>
    <w:rsid w:val="00E3674B"/>
    <w:rsid w:val="00E413EB"/>
    <w:rsid w:val="00E44AE4"/>
    <w:rsid w:val="00E52CBD"/>
    <w:rsid w:val="00E8353A"/>
    <w:rsid w:val="00E953F4"/>
    <w:rsid w:val="00E95F15"/>
    <w:rsid w:val="00EB3B52"/>
    <w:rsid w:val="00EC3E49"/>
    <w:rsid w:val="00EE254F"/>
    <w:rsid w:val="00EF0186"/>
    <w:rsid w:val="00F13BE6"/>
    <w:rsid w:val="00F27ACC"/>
    <w:rsid w:val="00F35886"/>
    <w:rsid w:val="00F37EF4"/>
    <w:rsid w:val="00F40ED7"/>
    <w:rsid w:val="00F45402"/>
    <w:rsid w:val="00F50160"/>
    <w:rsid w:val="00F56909"/>
    <w:rsid w:val="00F73287"/>
    <w:rsid w:val="00F97E8F"/>
    <w:rsid w:val="00FA0122"/>
    <w:rsid w:val="00FC1CB4"/>
    <w:rsid w:val="00FC6B3D"/>
    <w:rsid w:val="00FE1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689E0ED"/>
  <w15:docId w15:val="{08E512A4-EA05-4CFA-9E31-87795542ACAE}"/>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E49"/>
    <w:pPr>
      <w:spacing w:line="288" w:lineRule="auto"/>
      <w:jc w:val="both"/>
    </w:pPr>
    <w:rPr>
      <w:rFonts w:eastAsia="Times New Roman"/>
      <w:sz w:val="22"/>
      <w:szCs w:val="22"/>
      <w:lang w:eastAsia="en-US"/>
    </w:rPr>
  </w:style>
  <w:style w:type="paragraph" w:styleId="Heading1">
    <w:name w:val="heading 1"/>
    <w:basedOn w:val="Normal"/>
    <w:next w:val="Normal"/>
    <w:link w:val="Heading1Char"/>
    <w:qFormat/>
    <w:rsid w:val="00EC3E49"/>
    <w:pPr>
      <w:numPr>
        <w:numId w:val="1"/>
      </w:numPr>
      <w:ind w:left="567" w:hanging="567"/>
      <w:outlineLvl w:val="0"/>
    </w:pPr>
    <w:rPr>
      <w:kern w:val="28"/>
    </w:rPr>
  </w:style>
  <w:style w:type="paragraph" w:styleId="Heading2">
    <w:name w:val="heading 2"/>
    <w:basedOn w:val="Normal"/>
    <w:next w:val="Normal"/>
    <w:qFormat/>
    <w:rsid w:val="00EC3E49"/>
    <w:pPr>
      <w:numPr>
        <w:ilvl w:val="1"/>
        <w:numId w:val="1"/>
      </w:numPr>
      <w:ind w:left="567" w:hanging="567"/>
      <w:outlineLvl w:val="1"/>
    </w:pPr>
  </w:style>
  <w:style w:type="paragraph" w:styleId="Heading3">
    <w:name w:val="heading 3"/>
    <w:basedOn w:val="Normal"/>
    <w:next w:val="Normal"/>
    <w:qFormat/>
    <w:rsid w:val="00EC3E49"/>
    <w:pPr>
      <w:numPr>
        <w:ilvl w:val="2"/>
        <w:numId w:val="1"/>
      </w:numPr>
      <w:ind w:left="567" w:hanging="567"/>
      <w:outlineLvl w:val="2"/>
    </w:pPr>
  </w:style>
  <w:style w:type="paragraph" w:styleId="Heading4">
    <w:name w:val="heading 4"/>
    <w:basedOn w:val="Normal"/>
    <w:next w:val="Normal"/>
    <w:qFormat/>
    <w:rsid w:val="00EC3E49"/>
    <w:pPr>
      <w:numPr>
        <w:ilvl w:val="3"/>
        <w:numId w:val="1"/>
      </w:numPr>
      <w:ind w:left="567" w:hanging="567"/>
      <w:outlineLvl w:val="3"/>
    </w:pPr>
  </w:style>
  <w:style w:type="paragraph" w:styleId="Heading5">
    <w:name w:val="heading 5"/>
    <w:basedOn w:val="Normal"/>
    <w:next w:val="Normal"/>
    <w:qFormat/>
    <w:rsid w:val="00EC3E49"/>
    <w:pPr>
      <w:numPr>
        <w:ilvl w:val="4"/>
        <w:numId w:val="1"/>
      </w:numPr>
      <w:ind w:left="567" w:hanging="567"/>
      <w:outlineLvl w:val="4"/>
    </w:pPr>
  </w:style>
  <w:style w:type="paragraph" w:styleId="Heading6">
    <w:name w:val="heading 6"/>
    <w:basedOn w:val="Normal"/>
    <w:next w:val="Normal"/>
    <w:qFormat/>
    <w:rsid w:val="00EC3E49"/>
    <w:pPr>
      <w:numPr>
        <w:ilvl w:val="5"/>
        <w:numId w:val="1"/>
      </w:numPr>
      <w:ind w:left="567" w:hanging="567"/>
      <w:outlineLvl w:val="5"/>
    </w:pPr>
  </w:style>
  <w:style w:type="paragraph" w:styleId="Heading7">
    <w:name w:val="heading 7"/>
    <w:basedOn w:val="Normal"/>
    <w:next w:val="Normal"/>
    <w:qFormat/>
    <w:rsid w:val="00EC3E49"/>
    <w:pPr>
      <w:numPr>
        <w:ilvl w:val="6"/>
        <w:numId w:val="1"/>
      </w:numPr>
      <w:ind w:left="567" w:hanging="567"/>
      <w:outlineLvl w:val="6"/>
    </w:pPr>
  </w:style>
  <w:style w:type="paragraph" w:styleId="Heading8">
    <w:name w:val="heading 8"/>
    <w:basedOn w:val="Normal"/>
    <w:next w:val="Normal"/>
    <w:qFormat/>
    <w:rsid w:val="00EC3E49"/>
    <w:pPr>
      <w:numPr>
        <w:ilvl w:val="7"/>
        <w:numId w:val="1"/>
      </w:numPr>
      <w:ind w:left="567" w:hanging="567"/>
      <w:outlineLvl w:val="7"/>
    </w:pPr>
  </w:style>
  <w:style w:type="paragraph" w:styleId="Heading9">
    <w:name w:val="heading 9"/>
    <w:basedOn w:val="Normal"/>
    <w:next w:val="Normal"/>
    <w:qFormat/>
    <w:rsid w:val="00EC3E49"/>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EC3E49"/>
  </w:style>
  <w:style w:type="paragraph" w:styleId="FootnoteText">
    <w:name w:val="footnote text"/>
    <w:aliases w:val="AF Fußnotentext,Fußnote,Footnote,fn,Footnote Text Char1,Footnote Text Char Char,FOOTNOTES,single space,footnote text,Fußnotentext Char,Footnote Text Char Char1,Footnote Text Char Char Char,FOOTNOTES Char Char,fn Char Char,Char Char2"/>
    <w:basedOn w:val="Normal"/>
    <w:link w:val="FootnoteTextChar"/>
    <w:qFormat/>
    <w:rsid w:val="00EC3E49"/>
    <w:pPr>
      <w:keepLines/>
      <w:spacing w:after="60" w:line="240" w:lineRule="auto"/>
      <w:ind w:left="567" w:hanging="567"/>
    </w:pPr>
    <w:rPr>
      <w:sz w:val="16"/>
    </w:rPr>
  </w:style>
  <w:style w:type="paragraph" w:styleId="Header">
    <w:name w:val="header"/>
    <w:basedOn w:val="Normal"/>
    <w:qFormat/>
    <w:rsid w:val="00EC3E49"/>
  </w:style>
  <w:style w:type="paragraph" w:customStyle="1" w:styleId="quotes">
    <w:name w:val="quotes"/>
    <w:basedOn w:val="Normal"/>
    <w:next w:val="Normal"/>
    <w:rsid w:val="00EC3E49"/>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Ref"/>
    <w:basedOn w:val="DefaultParagraphFont"/>
    <w:unhideWhenUsed/>
    <w:qFormat/>
    <w:rsid w:val="00EC3E49"/>
    <w:rPr>
      <w:sz w:val="24"/>
      <w:vertAlign w:val="superscript"/>
    </w:rPr>
  </w:style>
  <w:style w:type="character" w:styleId="FollowedHyperlink">
    <w:name w:val="FollowedHyperlink"/>
    <w:basedOn w:val="DefaultParagraphFont"/>
    <w:rPr>
      <w:color w:val="800080"/>
      <w:u w:val="single"/>
    </w:rPr>
  </w:style>
  <w:style w:type="paragraph" w:customStyle="1" w:styleId="LOGO">
    <w:name w:val="LOGO"/>
    <w:basedOn w:val="Normal"/>
    <w:pPr>
      <w:jc w:val="center"/>
    </w:pPr>
    <w:rPr>
      <w:rFonts w:ascii="Arial" w:hAnsi="Arial" w:cs="Arial"/>
      <w:b/>
      <w:bCs/>
      <w:i/>
      <w:iCs/>
      <w:sz w:val="20"/>
    </w:rPr>
  </w:style>
  <w:style w:type="paragraph" w:styleId="ListParagraph">
    <w:name w:val="List Paragraph"/>
    <w:basedOn w:val="Normal"/>
    <w:uiPriority w:val="34"/>
    <w:qFormat/>
    <w:rsid w:val="00CB65B5"/>
    <w:pPr>
      <w:ind w:left="720"/>
      <w:contextualSpacing/>
    </w:pPr>
  </w:style>
  <w:style w:type="character" w:customStyle="1" w:styleId="Heading1Char">
    <w:name w:val="Heading 1 Char"/>
    <w:basedOn w:val="DefaultParagraphFont"/>
    <w:link w:val="Heading1"/>
    <w:rsid w:val="00CB65B5"/>
    <w:rPr>
      <w:rFonts w:eastAsia="Times New Roman"/>
      <w:kern w:val="28"/>
      <w:sz w:val="22"/>
      <w:szCs w:val="22"/>
      <w:lang w:val="en-GB" w:eastAsia="en-US"/>
    </w:rPr>
  </w:style>
  <w:style w:type="paragraph" w:styleId="BalloonText">
    <w:name w:val="Balloon Text"/>
    <w:basedOn w:val="Normal"/>
    <w:link w:val="BalloonTextChar"/>
    <w:rsid w:val="00EC3E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C3E49"/>
    <w:rPr>
      <w:rFonts w:ascii="Tahoma" w:eastAsia="Times New Roman" w:hAnsi="Tahoma" w:cs="Tahoma"/>
      <w:sz w:val="16"/>
      <w:szCs w:val="16"/>
      <w:lang w:val="en-GB" w:eastAsia="en-US"/>
    </w:rPr>
  </w:style>
  <w:style w:type="character" w:customStyle="1" w:styleId="tlid-translation">
    <w:name w:val="tlid-translation"/>
    <w:basedOn w:val="DefaultParagraphFont"/>
    <w:rsid w:val="00497319"/>
  </w:style>
  <w:style w:type="character" w:customStyle="1" w:styleId="FootnoteTextChar">
    <w:name w:val="Footnote Text Char"/>
    <w:aliases w:val="AF Fußnotentext Char,Fußnote Char,Footnote Char,fn Char,Footnote Text Char1 Char,Footnote Text Char Char Char1,FOOTNOTES Char,single space Char,footnote text Char,Fußnotentext Char Char,Footnote Text Char Char1 Char,fn Char Char Char"/>
    <w:link w:val="FootnoteText"/>
    <w:qFormat/>
    <w:rsid w:val="00934F2F"/>
    <w:rPr>
      <w:rFonts w:eastAsia="Times New Roman"/>
      <w:sz w:val="16"/>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5661">
      <w:bodyDiv w:val="1"/>
      <w:marLeft w:val="0"/>
      <w:marRight w:val="0"/>
      <w:marTop w:val="0"/>
      <w:marBottom w:val="0"/>
      <w:divBdr>
        <w:top w:val="none" w:sz="0" w:space="0" w:color="auto"/>
        <w:left w:val="none" w:sz="0" w:space="0" w:color="auto"/>
        <w:bottom w:val="none" w:sz="0" w:space="0" w:color="auto"/>
        <w:right w:val="none" w:sz="0" w:space="0" w:color="auto"/>
      </w:divBdr>
      <w:divsChild>
        <w:div w:id="2010282358">
          <w:marLeft w:val="0"/>
          <w:marRight w:val="0"/>
          <w:marTop w:val="0"/>
          <w:marBottom w:val="0"/>
          <w:divBdr>
            <w:top w:val="none" w:sz="0" w:space="0" w:color="auto"/>
            <w:left w:val="none" w:sz="0" w:space="0" w:color="auto"/>
            <w:bottom w:val="none" w:sz="0" w:space="0" w:color="auto"/>
            <w:right w:val="none" w:sz="0" w:space="0" w:color="auto"/>
          </w:divBdr>
          <w:divsChild>
            <w:div w:id="1620181889">
              <w:marLeft w:val="0"/>
              <w:marRight w:val="0"/>
              <w:marTop w:val="0"/>
              <w:marBottom w:val="0"/>
              <w:divBdr>
                <w:top w:val="none" w:sz="0" w:space="0" w:color="auto"/>
                <w:left w:val="none" w:sz="0" w:space="0" w:color="auto"/>
                <w:bottom w:val="none" w:sz="0" w:space="0" w:color="auto"/>
                <w:right w:val="none" w:sz="0" w:space="0" w:color="auto"/>
              </w:divBdr>
              <w:divsChild>
                <w:div w:id="1924607846">
                  <w:marLeft w:val="0"/>
                  <w:marRight w:val="0"/>
                  <w:marTop w:val="0"/>
                  <w:marBottom w:val="0"/>
                  <w:divBdr>
                    <w:top w:val="none" w:sz="0" w:space="0" w:color="auto"/>
                    <w:left w:val="none" w:sz="0" w:space="0" w:color="auto"/>
                    <w:bottom w:val="none" w:sz="0" w:space="0" w:color="auto"/>
                    <w:right w:val="none" w:sz="0" w:space="0" w:color="auto"/>
                  </w:divBdr>
                  <w:divsChild>
                    <w:div w:id="2050491205">
                      <w:marLeft w:val="0"/>
                      <w:marRight w:val="0"/>
                      <w:marTop w:val="0"/>
                      <w:marBottom w:val="0"/>
                      <w:divBdr>
                        <w:top w:val="none" w:sz="0" w:space="0" w:color="auto"/>
                        <w:left w:val="none" w:sz="0" w:space="0" w:color="auto"/>
                        <w:bottom w:val="none" w:sz="0" w:space="0" w:color="auto"/>
                        <w:right w:val="none" w:sz="0" w:space="0" w:color="auto"/>
                      </w:divBdr>
                      <w:divsChild>
                        <w:div w:id="713894291">
                          <w:marLeft w:val="0"/>
                          <w:marRight w:val="0"/>
                          <w:marTop w:val="0"/>
                          <w:marBottom w:val="0"/>
                          <w:divBdr>
                            <w:top w:val="none" w:sz="0" w:space="0" w:color="auto"/>
                            <w:left w:val="none" w:sz="0" w:space="0" w:color="auto"/>
                            <w:bottom w:val="none" w:sz="0" w:space="0" w:color="auto"/>
                            <w:right w:val="none" w:sz="0" w:space="0" w:color="auto"/>
                          </w:divBdr>
                          <w:divsChild>
                            <w:div w:id="1778141063">
                              <w:marLeft w:val="0"/>
                              <w:marRight w:val="0"/>
                              <w:marTop w:val="0"/>
                              <w:marBottom w:val="0"/>
                              <w:divBdr>
                                <w:top w:val="none" w:sz="0" w:space="0" w:color="auto"/>
                                <w:left w:val="none" w:sz="0" w:space="0" w:color="auto"/>
                                <w:bottom w:val="none" w:sz="0" w:space="0" w:color="auto"/>
                                <w:right w:val="none" w:sz="0" w:space="0" w:color="auto"/>
                              </w:divBdr>
                              <w:divsChild>
                                <w:div w:id="1134327789">
                                  <w:marLeft w:val="0"/>
                                  <w:marRight w:val="0"/>
                                  <w:marTop w:val="0"/>
                                  <w:marBottom w:val="0"/>
                                  <w:divBdr>
                                    <w:top w:val="none" w:sz="0" w:space="0" w:color="auto"/>
                                    <w:left w:val="none" w:sz="0" w:space="0" w:color="auto"/>
                                    <w:bottom w:val="none" w:sz="0" w:space="0" w:color="auto"/>
                                    <w:right w:val="none" w:sz="0" w:space="0" w:color="auto"/>
                                  </w:divBdr>
                                  <w:divsChild>
                                    <w:div w:id="278415230">
                                      <w:marLeft w:val="0"/>
                                      <w:marRight w:val="0"/>
                                      <w:marTop w:val="0"/>
                                      <w:marBottom w:val="0"/>
                                      <w:divBdr>
                                        <w:top w:val="none" w:sz="0" w:space="0" w:color="auto"/>
                                        <w:left w:val="none" w:sz="0" w:space="0" w:color="auto"/>
                                        <w:bottom w:val="none" w:sz="0" w:space="0" w:color="auto"/>
                                        <w:right w:val="none" w:sz="0" w:space="0" w:color="auto"/>
                                      </w:divBdr>
                                      <w:divsChild>
                                        <w:div w:id="1509980836">
                                          <w:marLeft w:val="0"/>
                                          <w:marRight w:val="0"/>
                                          <w:marTop w:val="0"/>
                                          <w:marBottom w:val="495"/>
                                          <w:divBdr>
                                            <w:top w:val="none" w:sz="0" w:space="0" w:color="auto"/>
                                            <w:left w:val="none" w:sz="0" w:space="0" w:color="auto"/>
                                            <w:bottom w:val="none" w:sz="0" w:space="0" w:color="auto"/>
                                            <w:right w:val="none" w:sz="0" w:space="0" w:color="auto"/>
                                          </w:divBdr>
                                          <w:divsChild>
                                            <w:div w:id="168659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092591">
      <w:bodyDiv w:val="1"/>
      <w:marLeft w:val="0"/>
      <w:marRight w:val="0"/>
      <w:marTop w:val="0"/>
      <w:marBottom w:val="0"/>
      <w:divBdr>
        <w:top w:val="none" w:sz="0" w:space="0" w:color="auto"/>
        <w:left w:val="none" w:sz="0" w:space="0" w:color="auto"/>
        <w:bottom w:val="none" w:sz="0" w:space="0" w:color="auto"/>
        <w:right w:val="none" w:sz="0" w:space="0" w:color="auto"/>
      </w:divBdr>
      <w:divsChild>
        <w:div w:id="1896163233">
          <w:marLeft w:val="0"/>
          <w:marRight w:val="0"/>
          <w:marTop w:val="0"/>
          <w:marBottom w:val="0"/>
          <w:divBdr>
            <w:top w:val="none" w:sz="0" w:space="0" w:color="auto"/>
            <w:left w:val="none" w:sz="0" w:space="0" w:color="auto"/>
            <w:bottom w:val="none" w:sz="0" w:space="0" w:color="auto"/>
            <w:right w:val="none" w:sz="0" w:space="0" w:color="auto"/>
          </w:divBdr>
          <w:divsChild>
            <w:div w:id="1209148014">
              <w:marLeft w:val="0"/>
              <w:marRight w:val="0"/>
              <w:marTop w:val="0"/>
              <w:marBottom w:val="0"/>
              <w:divBdr>
                <w:top w:val="none" w:sz="0" w:space="0" w:color="auto"/>
                <w:left w:val="none" w:sz="0" w:space="0" w:color="auto"/>
                <w:bottom w:val="none" w:sz="0" w:space="0" w:color="auto"/>
                <w:right w:val="none" w:sz="0" w:space="0" w:color="auto"/>
              </w:divBdr>
              <w:divsChild>
                <w:div w:id="1610579905">
                  <w:marLeft w:val="0"/>
                  <w:marRight w:val="0"/>
                  <w:marTop w:val="0"/>
                  <w:marBottom w:val="0"/>
                  <w:divBdr>
                    <w:top w:val="none" w:sz="0" w:space="0" w:color="auto"/>
                    <w:left w:val="none" w:sz="0" w:space="0" w:color="auto"/>
                    <w:bottom w:val="none" w:sz="0" w:space="0" w:color="auto"/>
                    <w:right w:val="none" w:sz="0" w:space="0" w:color="auto"/>
                  </w:divBdr>
                  <w:divsChild>
                    <w:div w:id="77993484">
                      <w:marLeft w:val="0"/>
                      <w:marRight w:val="0"/>
                      <w:marTop w:val="0"/>
                      <w:marBottom w:val="0"/>
                      <w:divBdr>
                        <w:top w:val="none" w:sz="0" w:space="0" w:color="auto"/>
                        <w:left w:val="none" w:sz="0" w:space="0" w:color="auto"/>
                        <w:bottom w:val="none" w:sz="0" w:space="0" w:color="auto"/>
                        <w:right w:val="none" w:sz="0" w:space="0" w:color="auto"/>
                      </w:divBdr>
                      <w:divsChild>
                        <w:div w:id="1232497388">
                          <w:marLeft w:val="0"/>
                          <w:marRight w:val="0"/>
                          <w:marTop w:val="0"/>
                          <w:marBottom w:val="0"/>
                          <w:divBdr>
                            <w:top w:val="none" w:sz="0" w:space="0" w:color="auto"/>
                            <w:left w:val="none" w:sz="0" w:space="0" w:color="auto"/>
                            <w:bottom w:val="none" w:sz="0" w:space="0" w:color="auto"/>
                            <w:right w:val="none" w:sz="0" w:space="0" w:color="auto"/>
                          </w:divBdr>
                          <w:divsChild>
                            <w:div w:id="1586188656">
                              <w:marLeft w:val="0"/>
                              <w:marRight w:val="0"/>
                              <w:marTop w:val="0"/>
                              <w:marBottom w:val="0"/>
                              <w:divBdr>
                                <w:top w:val="none" w:sz="0" w:space="0" w:color="auto"/>
                                <w:left w:val="none" w:sz="0" w:space="0" w:color="auto"/>
                                <w:bottom w:val="none" w:sz="0" w:space="0" w:color="auto"/>
                                <w:right w:val="none" w:sz="0" w:space="0" w:color="auto"/>
                              </w:divBdr>
                              <w:divsChild>
                                <w:div w:id="1101103062">
                                  <w:marLeft w:val="0"/>
                                  <w:marRight w:val="0"/>
                                  <w:marTop w:val="0"/>
                                  <w:marBottom w:val="0"/>
                                  <w:divBdr>
                                    <w:top w:val="none" w:sz="0" w:space="0" w:color="auto"/>
                                    <w:left w:val="none" w:sz="0" w:space="0" w:color="auto"/>
                                    <w:bottom w:val="none" w:sz="0" w:space="0" w:color="auto"/>
                                    <w:right w:val="none" w:sz="0" w:space="0" w:color="auto"/>
                                  </w:divBdr>
                                  <w:divsChild>
                                    <w:div w:id="91168949">
                                      <w:marLeft w:val="0"/>
                                      <w:marRight w:val="0"/>
                                      <w:marTop w:val="0"/>
                                      <w:marBottom w:val="0"/>
                                      <w:divBdr>
                                        <w:top w:val="none" w:sz="0" w:space="0" w:color="auto"/>
                                        <w:left w:val="none" w:sz="0" w:space="0" w:color="auto"/>
                                        <w:bottom w:val="none" w:sz="0" w:space="0" w:color="auto"/>
                                        <w:right w:val="none" w:sz="0" w:space="0" w:color="auto"/>
                                      </w:divBdr>
                                      <w:divsChild>
                                        <w:div w:id="828250414">
                                          <w:marLeft w:val="0"/>
                                          <w:marRight w:val="0"/>
                                          <w:marTop w:val="0"/>
                                          <w:marBottom w:val="495"/>
                                          <w:divBdr>
                                            <w:top w:val="none" w:sz="0" w:space="0" w:color="auto"/>
                                            <w:left w:val="none" w:sz="0" w:space="0" w:color="auto"/>
                                            <w:bottom w:val="none" w:sz="0" w:space="0" w:color="auto"/>
                                            <w:right w:val="none" w:sz="0" w:space="0" w:color="auto"/>
                                          </w:divBdr>
                                          <w:divsChild>
                                            <w:div w:id="3263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&#65279;<?xml version="1.0" encoding="utf-8"?><Relationships xmlns="http://schemas.openxmlformats.org/package/2006/relationships"><Relationship Type="http://schemas.openxmlformats.org/officeDocument/2006/relationships/attachedTemplate" Target="Normal.dotm" TargetMode="External" Id="relationI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4HZEMHAC3EDJ-10-1788</_dlc_DocId>
    <_dlc_DocIdUrl xmlns="fa50c78c-f4f4-481c-9f4f-2304ef344578">
      <Url>http://dm/CoR/2018/_layouts/DocIdRedir.aspx?ID=4HZEMHAC3EDJ-10-1788</Url>
      <Description>4HZEMHAC3EDJ-10-1788</Description>
    </_dlc_DocIdUrl>
    <MeetingNumber xmlns="5a6d194d-085c-4fe5-aa39-cb3bd8cd3b70">22</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DT</TermName>
          <TermId xmlns="http://schemas.microsoft.com/office/infopath/2007/PartnerControls">25c86c03-f029-4a57-bd6c-25106fad060c</TermId>
        </TermInfo>
      </Terms>
    </DocumentType_0>
    <Procedure xmlns="fa50c78c-f4f4-481c-9f4f-2304ef34457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2019-01-30T12:00:00+00:00</ProductionDate>
    <DocumentNumber xmlns="5a6d194d-085c-4fe5-aa39-cb3bd8cd3b70">6435</DocumentNumber>
    <FicheYear xmlns="fa50c78c-f4f4-481c-9f4f-2304ef344578">2018</FicheYear>
    <DocumentVersion xmlns="fa50c78c-f4f4-481c-9f4f-2304ef344578">1</DocumentVersion>
    <DossierNumber xmlns="fa50c78c-f4f4-481c-9f4f-2304ef344578">49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2019-02-18T12:00:00+00:00</MeetingDate>
    <TaxCatchAll xmlns="fa50c78c-f4f4-481c-9f4f-2304ef344578">
      <Value>39</Value>
      <Value>32</Value>
      <Value>40</Value>
      <Value>27</Value>
      <Value>38</Value>
      <Value>37</Value>
      <Value>36</Value>
      <Value>35</Value>
      <Value>34</Value>
      <Value>33</Value>
      <Value>26</Value>
      <Value>31</Value>
      <Value>30</Value>
      <Value>29</Value>
      <Value>28</Value>
      <Value>74</Value>
      <Value>73</Value>
      <Value>23</Value>
      <Value>19</Value>
      <Value>18</Value>
      <Value>17</Value>
      <Value>15</Value>
      <Value>13</Value>
      <Value>11</Value>
      <Value>7</Value>
      <Value>5</Value>
      <Value>4</Value>
      <Value>50</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fa50c78c-f4f4-481c-9f4f-2304ef344578">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fa50c78c-f4f4-481c-9f4f-2304ef344578">891</FicheNumber>
    <DocumentYear xmlns="fa50c78c-f4f4-481c-9f4f-2304ef344578">2018</DocumentYear>
    <AdoptionDate xmlns="fa50c78c-f4f4-481c-9f4f-2304ef344578" xsi:nil="tru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9dc7ca8b-742b-490e-a49f-907d997f3e13</TermId>
        </TermInfo>
      </Terms>
    </MeetingName_0>
    <RequestingService xmlns="fa50c78c-f4f4-481c-9f4f-2304ef344578">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0102C25D40452429E42C668D67502D0" ma:contentTypeVersion="4" ma:contentTypeDescription="Defines the documents for Document Manager V2" ma:contentTypeScope="" ma:versionID="2a96705903b577caadbb293d43251952">
  <xsd:schema xmlns:xsd="http://www.w3.org/2001/XMLSchema" xmlns:xs="http://www.w3.org/2001/XMLSchema" xmlns:p="http://schemas.microsoft.com/office/2006/metadata/properties" xmlns:ns2="fa50c78c-f4f4-481c-9f4f-2304ef344578" xmlns:ns3="http://schemas.microsoft.com/sharepoint/v3/fields" xmlns:ns4="5a6d194d-085c-4fe5-aa39-cb3bd8cd3b70" targetNamespace="http://schemas.microsoft.com/office/2006/metadata/properties" ma:root="true" ma:fieldsID="1a39d12cf7b8a256d3f09db72ac5be6f" ns2:_="" ns3:_="" ns4:_="">
    <xsd:import namespace="fa50c78c-f4f4-481c-9f4f-2304ef344578"/>
    <xsd:import namespace="http://schemas.microsoft.com/sharepoint/v3/fields"/>
    <xsd:import namespace="5a6d194d-085c-4fe5-aa39-cb3bd8cd3b7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6d194d-085c-4fe5-aa39-cb3bd8cd3b7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A5789-6B15-44C0-878D-A10E1D288E41}"/>
</file>

<file path=customXml/itemProps2.xml><?xml version="1.0" encoding="utf-8"?>
<ds:datastoreItem xmlns:ds="http://schemas.openxmlformats.org/officeDocument/2006/customXml" ds:itemID="{BDA28300-77A1-43FB-92DB-055CDEC6B94C}"/>
</file>

<file path=customXml/itemProps3.xml><?xml version="1.0" encoding="utf-8"?>
<ds:datastoreItem xmlns:ds="http://schemas.openxmlformats.org/officeDocument/2006/customXml" ds:itemID="{8BF10D20-712B-4129-A101-0F10E252F7A0}"/>
</file>

<file path=customXml/itemProps4.xml><?xml version="1.0" encoding="utf-8"?>
<ds:datastoreItem xmlns:ds="http://schemas.openxmlformats.org/officeDocument/2006/customXml" ds:itemID="{69CEA717-6A97-4F4A-A366-84C5EAFA8CFA}"/>
</file>

<file path=docProps/app.xml><?xml version="1.0" encoding="utf-8"?>
<Properties xmlns="http://schemas.openxmlformats.org/officeDocument/2006/extended-properties" xmlns:vt="http://schemas.openxmlformats.org/officeDocument/2006/docPropsVTypes">
  <Template>Normal.dotm</Template>
  <TotalTime>1</TotalTime>
  <Pages>6</Pages>
  <Words>1187</Words>
  <Characters>6916</Characters>
  <Application>Microsoft Office Word</Application>
  <DocSecurity>0</DocSecurity>
  <Lines>57</Lines>
  <Paragraphs>16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Renforcer lenseignement des sciences, des technologies, de lingénierie, (des arts) et des mathématiques STE(A)M dans lUnion européenne</vt:lpstr>
      <vt:lpstr>F_SOC6-2007_DOC-INT_HU</vt:lpstr>
    </vt:vector>
  </TitlesOfParts>
  <Company>CESE-CdR</Company>
  <LinksUpToDate>false</LinksUpToDate>
  <CharactersWithSpaces>8087</CharactersWithSpaces>
  <SharedDoc>false</SharedDoc>
  <HLinks>
    <vt:vector size="18" baseType="variant">
      <vt:variant>
        <vt:i4>3014714</vt:i4>
      </vt:variant>
      <vt:variant>
        <vt:i4>3</vt:i4>
      </vt:variant>
      <vt:variant>
        <vt:i4>0</vt:i4>
      </vt:variant>
      <vt:variant>
        <vt:i4>5</vt:i4>
      </vt:variant>
      <vt:variant>
        <vt:lpwstr>http://toad.cor.europa.eu/CORHelp.aspx</vt:lpwstr>
      </vt:variant>
      <vt:variant>
        <vt:lpwstr/>
      </vt:variant>
      <vt:variant>
        <vt:i4>1048588</vt:i4>
      </vt:variant>
      <vt:variant>
        <vt:i4>0</vt:i4>
      </vt:variant>
      <vt:variant>
        <vt:i4>0</vt:i4>
      </vt:variant>
      <vt:variant>
        <vt:i4>5</vt:i4>
      </vt:variant>
      <vt:variant>
        <vt:lpwstr>http://cor.europa.eu/members</vt:lpwstr>
      </vt:variant>
      <vt:variant>
        <vt:lpwstr/>
      </vt:variant>
      <vt:variant>
        <vt:i4>393231</vt:i4>
      </vt:variant>
      <vt:variant>
        <vt:i4>0</vt:i4>
      </vt:variant>
      <vt:variant>
        <vt:i4>0</vt:i4>
      </vt:variant>
      <vt:variant>
        <vt:i4>5</vt:i4>
      </vt:variant>
      <vt:variant>
        <vt:lpwstr>http://www.cor.europa.eu/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STE(A)M education in the EU</dc:title>
  <dc:subject>Working document</dc:subject>
  <dc:creator>Csak Laszlo</dc:creator>
  <cp:keywords>COR-2018-06435-00-01-DT-TRA-EN</cp:keywords>
  <dc:description>Rapporteur: BORBOLY - Original language: EN, HU - Date of document: 30/01/2019 - Date of meeting: 18/02/2019 - External documents:  - Administrator: M. Hobjila Doru-Iulian</dc:description>
  <cp:lastModifiedBy>YMUR</cp:lastModifiedBy>
  <cp:revision>4</cp:revision>
  <cp:lastPrinted>2007-01-24T13:01:00Z</cp:lastPrinted>
  <dcterms:created xsi:type="dcterms:W3CDTF">2019-01-28T15:10:00Z</dcterms:created>
  <dcterms:modified xsi:type="dcterms:W3CDTF">2019-01-30T13:11:00Z</dcterms:modified>
  <cp:category>SEDEC-VI/49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24/01/2019, 23/01/2019</vt:lpwstr>
  </property>
  <property fmtid="{D5CDD505-2E9C-101B-9397-08002B2CF9AE}" pid="4" name="Pref_Time">
    <vt:lpwstr>15:13:41, 15:55:43</vt:lpwstr>
  </property>
  <property fmtid="{D5CDD505-2E9C-101B-9397-08002B2CF9AE}" pid="5" name="Pref_User">
    <vt:lpwstr>mkop, enied</vt:lpwstr>
  </property>
  <property fmtid="{D5CDD505-2E9C-101B-9397-08002B2CF9AE}" pid="6" name="Pref_FileName">
    <vt:lpwstr>COR-2018-06435-00-01-DT-ORI.docx, COR-2018-06435-00-00-DT-TRA-HU-CRR.docx</vt:lpwstr>
  </property>
  <property fmtid="{D5CDD505-2E9C-101B-9397-08002B2CF9AE}" pid="7" name="ContentTypeId">
    <vt:lpwstr>0x010100EA97B91038054C99906057A708A1480A00A0102C25D40452429E42C668D67502D0</vt:lpwstr>
  </property>
  <property fmtid="{D5CDD505-2E9C-101B-9397-08002B2CF9AE}" pid="8" name="_dlc_DocIdItemGuid">
    <vt:lpwstr>59335f1c-82af-4f5f-8dfc-bc3b2ea5a4d4</vt:lpwstr>
  </property>
  <property fmtid="{D5CDD505-2E9C-101B-9397-08002B2CF9AE}" pid="9" name="MeetingNumber">
    <vt:i4>22</vt:i4>
  </property>
  <property fmtid="{D5CDD505-2E9C-101B-9397-08002B2CF9AE}" pid="10" name="DocumentType_0">
    <vt:lpwstr>DT|25c86c03-f029-4a57-bd6c-25106fad060c</vt:lpwstr>
  </property>
  <property fmtid="{D5CDD505-2E9C-101B-9397-08002B2CF9AE}" pid="11" name="AvailableTranslations">
    <vt:lpwstr>19;#PL|1e03da61-4678-4e07-b136-b5024ca9197b;#38;#ET|ff6c3f4c-b02c-4c3c-ab07-2c37995a7a0a;#30;#LV|46f7e311-5d9f-4663-b433-18aeccb7ace7;#36;#DA|5d49c027-8956-412b-aa16-e85a0f96ad0e;#15;#EL|6d4f4d51-af9b-4650-94b4-4276bee85c91;#28;#PT|50ccc04a-eadd-42ae-a0cb-acaf45f812ba;#40;#LT|a7ff5ce7-6123-4f68-865a-a57c31810414;#34;#SL|98a412ae-eb01-49e9-ae3d-585a81724cfc;#26;#MT|7df99101-6854-4a26-b53a-b88c0da02c26;#23;#FR|d2afafd3-4c81-4f60-8f52-ee33f2f54ff3;#17;#HU|6b229040-c589-4408-b4c1-4285663d20a8;#35;#RO|feb747a2-64cd-4299-af12-4833ddc30497;#13;#DE|f6b31e5a-26fa-4935-b661-318e46daf27e;#29;#BG|1a1b3951-7821-4e6a-85f5-5673fc08bd2c;#32;#FI|87606a43-d45f-42d6-b8c9-e1a3457db5b7;#4;#EN|f2175f21-25d7-44a3-96da-d6a61b075e1b;#37;#SK|46d9fce0-ef79-4f71-b89b-cd6aa82426b8;#18;#SV|c2ed69e7-a339-43d7-8f22-d93680a92aa0;#33;#HR|2f555653-ed1a-4fe6-8362-9082d95989e5;#31;#IT|0774613c-01ed-4e5d-a25d-11d2388de825;#27;#NL|55c6556c-b4f4-441d-9acf-c498d4f838bd;#39;#CS|72f9705b-0217-4fd3-bea2-cbc7ed80e26e;#11;#ES|e7a6b05b-ae16-40c8-add9-68b64b03aeba</vt:lpwstr>
  </property>
  <property fmtid="{D5CDD505-2E9C-101B-9397-08002B2CF9AE}" pid="12" name="DossierName_0">
    <vt:lpwstr>SEDEC-VI|f06eb240-9dba-4299-813c-b6d38e9a15c0</vt:lpwstr>
  </property>
  <property fmtid="{D5CDD505-2E9C-101B-9397-08002B2CF9AE}" pid="13" name="DocumentSource_0">
    <vt:lpwstr>CoR|cb2d75ef-4a7d-4393-b797-49ed6298a5ea</vt:lpwstr>
  </property>
  <property fmtid="{D5CDD505-2E9C-101B-9397-08002B2CF9AE}" pid="14" name="FicheYear">
    <vt:i4>2018</vt:i4>
  </property>
  <property fmtid="{D5CDD505-2E9C-101B-9397-08002B2CF9AE}" pid="15" name="DocumentNumber">
    <vt:i4>6435</vt:i4>
  </property>
  <property fmtid="{D5CDD505-2E9C-101B-9397-08002B2CF9AE}" pid="16" name="DocumentVersion">
    <vt:i4>1</vt:i4>
  </property>
  <property fmtid="{D5CDD505-2E9C-101B-9397-08002B2CF9AE}" pid="17" name="DossierNumber">
    <vt:i4>49</vt:i4>
  </property>
  <property fmtid="{D5CDD505-2E9C-101B-9397-08002B2CF9AE}" pid="18" name="DocumentSource">
    <vt:lpwstr>1;#CoR|cb2d75ef-4a7d-4393-b797-49ed6298a5ea</vt:lpwstr>
  </property>
  <property fmtid="{D5CDD505-2E9C-101B-9397-08002B2CF9AE}" pid="20" name="DocumentType">
    <vt:lpwstr>74;#DT|25c86c03-f029-4a57-bd6c-25106fad060c</vt:lpwstr>
  </property>
  <property fmtid="{D5CDD505-2E9C-101B-9397-08002B2CF9AE}" pid="21" name="DocumentStatus">
    <vt:lpwstr>2;#TRA|150d2a88-1431-44e6-a8ca-0bb753ab8672</vt:lpwstr>
  </property>
  <property fmtid="{D5CDD505-2E9C-101B-9397-08002B2CF9AE}" pid="22" name="DossierName">
    <vt:lpwstr>73;#SEDEC-VI|f06eb240-9dba-4299-813c-b6d38e9a15c0</vt:lpwstr>
  </property>
  <property fmtid="{D5CDD505-2E9C-101B-9397-08002B2CF9AE}" pid="23" name="DocumentPart">
    <vt:i4>0</vt:i4>
  </property>
  <property fmtid="{D5CDD505-2E9C-101B-9397-08002B2CF9AE}" pid="24" name="RequestingService">
    <vt:lpwstr>Commission SEDEC</vt:lpwstr>
  </property>
  <property fmtid="{D5CDD505-2E9C-101B-9397-08002B2CF9AE}" pid="25" name="Confidentiality">
    <vt:lpwstr>5;#Unrestricted|826e22d7-d029-4ec0-a450-0c28ff673572</vt:lpwstr>
  </property>
  <property fmtid="{D5CDD505-2E9C-101B-9397-08002B2CF9AE}" pid="26" name="Confidentiality_0">
    <vt:lpwstr>Unrestricted|826e22d7-d029-4ec0-a450-0c28ff673572</vt:lpwstr>
  </property>
  <property fmtid="{D5CDD505-2E9C-101B-9397-08002B2CF9AE}" pid="27" name="MeetingName_0">
    <vt:lpwstr>SEDEC-VI|9dc7ca8b-742b-490e-a49f-907d997f3e13</vt:lpwstr>
  </property>
  <property fmtid="{D5CDD505-2E9C-101B-9397-08002B2CF9AE}" pid="28" name="OriginalLanguage">
    <vt:lpwstr>4;#EN|f2175f21-25d7-44a3-96da-d6a61b075e1b;#17;#HU|6b229040-c589-4408-b4c1-4285663d20a8</vt:lpwstr>
  </property>
  <property fmtid="{D5CDD505-2E9C-101B-9397-08002B2CF9AE}" pid="29" name="MeetingName">
    <vt:lpwstr>50;#SEDEC-VI|9dc7ca8b-742b-490e-a49f-907d997f3e13</vt:lpwstr>
  </property>
  <property fmtid="{D5CDD505-2E9C-101B-9397-08002B2CF9AE}" pid="30" name="DocumentStatus_0">
    <vt:lpwstr>TRA|150d2a88-1431-44e6-a8ca-0bb753ab8672</vt:lpwstr>
  </property>
  <property fmtid="{D5CDD505-2E9C-101B-9397-08002B2CF9AE}" pid="31" name="OriginalLanguage_0">
    <vt:lpwstr>EN|f2175f21-25d7-44a3-96da-d6a61b075e1b;HU|6b229040-c589-4408-b4c1-4285663d20a8</vt:lpwstr>
  </property>
  <property fmtid="{D5CDD505-2E9C-101B-9397-08002B2CF9AE}" pid="32" name="MeetingDate">
    <vt:filetime>2019-02-18T12:00:00Z</vt:filetime>
  </property>
  <property fmtid="{D5CDD505-2E9C-101B-9397-08002B2CF9AE}" pid="33" name="TaxCatchAll">
    <vt:lpwstr>39;#CS|72f9705b-0217-4fd3-bea2-cbc7ed80e26e;#36;#DA|5d49c027-8956-412b-aa16-e85a0f96ad0e;#35;#RO|feb747a2-64cd-4299-af12-4833ddc30497;#34;#SL|98a412ae-eb01-49e9-ae3d-585a81724cfc;#27;#NL|55c6556c-b4f4-441d-9acf-c498d4f838bd;#30;#LV|46f7e311-5d9f-4663-b433-18aeccb7ace7;#31;#IT|0774613c-01ed-4e5d-a25d-11d2388de825;#73;#SEDEC-VI|f06eb240-9dba-4299-813c-b6d38e9a15c0;#29;#BG|1a1b3951-7821-4e6a-85f5-5673fc08bd2c;#28;#PT|50ccc04a-eadd-42ae-a0cb-acaf45f812ba;#74;#DT|25c86c03-f029-4a57-bd6c-25106fad060c;#26;#MT|7df99101-6854-4a26-b53a-b88c0da02c26;#23;#FR|d2afafd3-4c81-4f60-8f52-ee33f2f54ff3;#19;#PL|1e03da61-4678-4e07-b136-b5024ca9197b;#17;#HU|6b229040-c589-4408-b4c1-4285663d20a8;#15;#EL|6d4f4d51-af9b-4650-94b4-4276bee85c91;#13;#DE|f6b31e5a-26fa-4935-b661-318e46daf27e;#11;#ES|e7a6b05b-ae16-40c8-add9-68b64b03aeba;#7;#Final|ea5e6674-7b27-4bac-b091-73adbb394efe;#5;#Unrestricted|826e22d7-d029-4ec0-a450-0c28ff673572;#4;#EN|f2175f21-25d7-44a3-96da-d6a61b075e1b;#50;#SEDEC-VI|9dc7ca8b-742b-490e-a49f-907d997f3e13;#2;#TRA|150d2a88-1431-44e6-a8ca-0bb753ab8672;#1;#CoR|cb2d75ef-4a7d-4393-b797-49ed6298a5ea</vt:lpwstr>
  </property>
  <property fmtid="{D5CDD505-2E9C-101B-9397-08002B2CF9AE}" pid="34" name="AvailableTranslations_0">
    <vt:lpwstr>PL|1e03da61-4678-4e07-b136-b5024ca9197b;LV|46f7e311-5d9f-4663-b433-18aeccb7ace7;DA|5d49c027-8956-412b-aa16-e85a0f96ad0e;EL|6d4f4d51-af9b-4650-94b4-4276bee85c91;PT|50ccc04a-eadd-42ae-a0cb-acaf45f812ba;SL|98a412ae-eb01-49e9-ae3d-585a81724cfc;MT|7df99101-6854-4a26-b53a-b88c0da02c26;FR|d2afafd3-4c81-4f60-8f52-ee33f2f54ff3;HU|6b229040-c589-4408-b4c1-4285663d20a8;RO|feb747a2-64cd-4299-af12-4833ddc30497;DE|f6b31e5a-26fa-4935-b661-318e46daf27e;BG|1a1b3951-7821-4e6a-85f5-5673fc08bd2c;IT|0774613c-01ed-4e5d-a25d-11d2388de825;NL|55c6556c-b4f4-441d-9acf-c498d4f838bd;CS|72f9705b-0217-4fd3-bea2-cbc7ed80e26e;ES|e7a6b05b-ae16-40c8-add9-68b64b03aeba</vt:lpwstr>
  </property>
  <property fmtid="{D5CDD505-2E9C-101B-9397-08002B2CF9AE}" pid="35" name="VersionStatus">
    <vt:lpwstr>7;#Final|ea5e6674-7b27-4bac-b091-73adbb394efe</vt:lpwstr>
  </property>
  <property fmtid="{D5CDD505-2E9C-101B-9397-08002B2CF9AE}" pid="36" name="Rapporteur">
    <vt:lpwstr>BORBOLY</vt:lpwstr>
  </property>
  <property fmtid="{D5CDD505-2E9C-101B-9397-08002B2CF9AE}" pid="37" name="VersionStatus_0">
    <vt:lpwstr>Final|ea5e6674-7b27-4bac-b091-73adbb394efe</vt:lpwstr>
  </property>
  <property fmtid="{D5CDD505-2E9C-101B-9397-08002B2CF9AE}" pid="38" name="FicheNumber">
    <vt:i4>891</vt:i4>
  </property>
  <property fmtid="{D5CDD505-2E9C-101B-9397-08002B2CF9AE}" pid="39" name="DocumentYear">
    <vt:i4>2018</vt:i4>
  </property>
  <property fmtid="{D5CDD505-2E9C-101B-9397-08002B2CF9AE}" pid="40" name="DocumentLanguage">
    <vt:lpwstr>4;#EN|f2175f21-25d7-44a3-96da-d6a61b075e1b</vt:lpwstr>
  </property>
</Properties>
</file>