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44"/>
        <w:gridCol w:w="4645"/>
      </w:tblGrid>
      <w:tr w:rsidR="000D6A84" w:rsidRPr="00DB443A" w:rsidTr="006D78CA">
        <w:trPr>
          <w:cantSplit/>
        </w:trPr>
        <w:tc>
          <w:tcPr>
            <w:tcW w:w="4644" w:type="dxa"/>
          </w:tcPr>
          <w:p w:rsidR="000D6A84" w:rsidRPr="00DB443A" w:rsidRDefault="00B52D53" w:rsidP="000F0860">
            <w:pPr>
              <w:overflowPunct/>
              <w:adjustRightInd/>
              <w:spacing w:line="281" w:lineRule="auto"/>
              <w:textAlignment w:val="auto"/>
              <w:rPr>
                <w:szCs w:val="22"/>
              </w:rPr>
            </w:pPr>
            <w:r w:rsidRPr="00DB443A">
              <w:rPr>
                <w:rFonts w:eastAsia="Arial Unicode MS"/>
                <w:lang w:bidi="ar-SA"/>
              </w:rPr>
              <w:drawing>
                <wp:inline distT="0" distB="0" distL="0" distR="0" wp14:anchorId="4AA075D4" wp14:editId="08D52CF9">
                  <wp:extent cx="1799590" cy="1555750"/>
                  <wp:effectExtent l="0" t="0" r="0" b="6350"/>
                  <wp:docPr id="3" name="Picture 3" title="CoRLogo_R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99590" cy="1555750"/>
                          </a:xfrm>
                          <a:prstGeom prst="rect">
                            <a:avLst/>
                          </a:prstGeom>
                        </pic:spPr>
                      </pic:pic>
                    </a:graphicData>
                  </a:graphic>
                </wp:inline>
              </w:drawing>
            </w:r>
            <w:r w:rsidR="00C46910" w:rsidRPr="00DB443A">
              <w:rPr>
                <w:szCs w:val="22"/>
                <w:lang w:bidi="ar-SA"/>
              </w:rPr>
              <mc:AlternateContent>
                <mc:Choice Requires="wps">
                  <w:drawing>
                    <wp:anchor distT="0" distB="0" distL="114300" distR="114300" simplePos="0" relativeHeight="251663360" behindDoc="1" locked="0" layoutInCell="0" allowOverlap="1" wp14:anchorId="752AEF98" wp14:editId="0B36A1B1">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629" w:rsidRPr="00DB443A" w:rsidRDefault="004827B8" w:rsidP="000F0860">
                                  <w:pPr>
                                    <w:overflowPunct/>
                                    <w:adjustRightInd/>
                                    <w:jc w:val="center"/>
                                    <w:textAlignment w:val="auto"/>
                                    <w:rPr>
                                      <w:rFonts w:ascii="Arial" w:hAnsi="Arial" w:cs="Arial"/>
                                      <w:b/>
                                      <w:sz w:val="48"/>
                                    </w:rPr>
                                  </w:pPr>
                                  <w:r w:rsidRPr="00DB443A">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32.9pt;margin-top:793.7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C0IreQtQIA&#10;ALgFAAAOAAAAAAAAAAAAAAAAAC4CAABkcnMvZTJvRG9jLnhtbFBLAQItABQABgAIAAAAIQCBA6l8&#10;4QAAAA8BAAAPAAAAAAAAAAAAAAAAAA8FAABkcnMvZG93bnJldi54bWxQSwUGAAAAAAQABADzAAAA&#10;HQYAAAAA&#10;" o:allowincell="f" filled="f" stroked="f">
                      <v:textbox>
                        <w:txbxContent>
                          <w:p w:rsidR="002D1629" w:rsidRPr="00DB443A" w:rsidRDefault="004827B8" w:rsidP="000F0860">
                            <w:pPr>
                              <w:overflowPunct/>
                              <w:adjustRightInd/>
                              <w:jc w:val="center"/>
                              <w:textAlignment w:val="auto"/>
                              <w:rPr>
                                <w:rFonts w:ascii="Arial" w:hAnsi="Arial" w:cs="Arial"/>
                                <w:b/>
                                <w:sz w:val="48"/>
                              </w:rPr>
                            </w:pPr>
                            <w:r w:rsidRPr="00DB443A">
                              <w:rPr>
                                <w:rFonts w:ascii="Arial" w:hAnsi="Arial"/>
                                <w:b/>
                                <w:sz w:val="48"/>
                              </w:rPr>
                              <w:t>RO</w:t>
                            </w:r>
                          </w:p>
                        </w:txbxContent>
                      </v:textbox>
                      <w10:wrap anchorx="page" anchory="page"/>
                    </v:shape>
                  </w:pict>
                </mc:Fallback>
              </mc:AlternateContent>
            </w:r>
            <w:r w:rsidR="00C46910" w:rsidRPr="00DB443A">
              <w:rPr>
                <w:szCs w:val="22"/>
                <w:lang w:bidi="ar-SA"/>
              </w:rPr>
              <w:drawing>
                <wp:anchor distT="0" distB="0" distL="114300" distR="114300" simplePos="0" relativeHeight="251665408" behindDoc="0" locked="0" layoutInCell="0" allowOverlap="0" wp14:anchorId="49E5C65C" wp14:editId="0EF7A711">
                  <wp:simplePos x="0" y="0"/>
                  <wp:positionH relativeFrom="page">
                    <wp:posOffset>900430</wp:posOffset>
                  </wp:positionH>
                  <wp:positionV relativeFrom="page">
                    <wp:posOffset>10185400</wp:posOffset>
                  </wp:positionV>
                  <wp:extent cx="5727600" cy="266400"/>
                  <wp:effectExtent l="0" t="0" r="0"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45" w:type="dxa"/>
          </w:tcPr>
          <w:p w:rsidR="000D6A84" w:rsidRPr="00DB443A" w:rsidRDefault="000D6A84" w:rsidP="000F0860">
            <w:pPr>
              <w:overflowPunct/>
              <w:adjustRightInd/>
              <w:spacing w:line="281" w:lineRule="auto"/>
              <w:textAlignment w:val="auto"/>
              <w:rPr>
                <w:szCs w:val="22"/>
              </w:rPr>
            </w:pPr>
          </w:p>
        </w:tc>
      </w:tr>
      <w:tr w:rsidR="00444A98" w:rsidRPr="00DB443A" w:rsidTr="006D78CA">
        <w:trPr>
          <w:cantSplit/>
        </w:trPr>
        <w:tc>
          <w:tcPr>
            <w:tcW w:w="9289" w:type="dxa"/>
            <w:gridSpan w:val="2"/>
          </w:tcPr>
          <w:p w:rsidR="00444A98" w:rsidRPr="00DB443A" w:rsidRDefault="009426D8" w:rsidP="000F0860">
            <w:pPr>
              <w:overflowPunct/>
              <w:adjustRightInd/>
              <w:spacing w:line="281" w:lineRule="auto"/>
              <w:jc w:val="right"/>
              <w:textAlignment w:val="auto"/>
              <w:rPr>
                <w:b/>
                <w:bCs/>
                <w:sz w:val="28"/>
                <w:szCs w:val="22"/>
              </w:rPr>
            </w:pPr>
            <w:r w:rsidRPr="00DB443A">
              <w:rPr>
                <w:b/>
                <w:sz w:val="28"/>
              </w:rPr>
              <w:t>SEDEC-VI/029</w:t>
            </w:r>
          </w:p>
        </w:tc>
      </w:tr>
      <w:tr w:rsidR="00444A98" w:rsidRPr="00DB443A" w:rsidTr="006D78CA">
        <w:tc>
          <w:tcPr>
            <w:tcW w:w="9289" w:type="dxa"/>
            <w:gridSpan w:val="2"/>
          </w:tcPr>
          <w:p w:rsidR="00444A98" w:rsidRPr="00DB443A" w:rsidRDefault="00E63248" w:rsidP="000F0860">
            <w:pPr>
              <w:overflowPunct/>
              <w:adjustRightInd/>
              <w:spacing w:line="281" w:lineRule="auto"/>
              <w:jc w:val="center"/>
              <w:textAlignment w:val="auto"/>
              <w:rPr>
                <w:b/>
                <w:bCs/>
                <w:sz w:val="28"/>
                <w:szCs w:val="22"/>
              </w:rPr>
            </w:pPr>
            <w:r w:rsidRPr="00DB443A">
              <w:rPr>
                <w:b/>
                <w:sz w:val="28"/>
              </w:rPr>
              <w:t>A 126-a sesiune plenară a CoR, 30 noiembrie – 1 decembrie 2017</w:t>
            </w:r>
          </w:p>
        </w:tc>
      </w:tr>
    </w:tbl>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1B33A4" w:rsidRPr="00DB443A" w:rsidRDefault="00444A98" w:rsidP="000F0860">
      <w:pPr>
        <w:overflowPunct/>
        <w:adjustRightInd/>
        <w:spacing w:line="281" w:lineRule="auto"/>
        <w:jc w:val="center"/>
        <w:textAlignment w:val="auto"/>
        <w:rPr>
          <w:b/>
          <w:sz w:val="28"/>
        </w:rPr>
      </w:pPr>
      <w:r w:rsidRPr="00DB443A">
        <w:rPr>
          <w:b/>
          <w:sz w:val="28"/>
        </w:rPr>
        <w:t>PROIECT DE AVIZ</w:t>
      </w:r>
    </w:p>
    <w:p w:rsidR="001B33A4" w:rsidRPr="00DB443A" w:rsidRDefault="001B33A4" w:rsidP="000F0860">
      <w:pPr>
        <w:overflowPunct/>
        <w:adjustRightInd/>
        <w:spacing w:line="281" w:lineRule="auto"/>
        <w:textAlignment w:val="auto"/>
      </w:pPr>
    </w:p>
    <w:p w:rsidR="00444A98" w:rsidRPr="00DB443A" w:rsidRDefault="003177A9" w:rsidP="000F0860">
      <w:pPr>
        <w:overflowPunct/>
        <w:adjustRightInd/>
        <w:spacing w:line="281" w:lineRule="auto"/>
        <w:jc w:val="center"/>
        <w:textAlignment w:val="auto"/>
        <w:rPr>
          <w:sz w:val="28"/>
        </w:rPr>
      </w:pPr>
      <w:r w:rsidRPr="00DB443A">
        <w:rPr>
          <w:b/>
          <w:sz w:val="28"/>
        </w:rPr>
        <w:t>Modernizarea învățământului preuniversitar şi a învățământului superior</w:t>
      </w: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tbl>
      <w:tblPr>
        <w:tblW w:w="5000" w:type="pct"/>
        <w:tblLook w:val="0000" w:firstRow="0" w:lastRow="0" w:firstColumn="0" w:lastColumn="0" w:noHBand="0" w:noVBand="0"/>
      </w:tblPr>
      <w:tblGrid>
        <w:gridCol w:w="9289"/>
      </w:tblGrid>
      <w:tr w:rsidR="00444A98" w:rsidRPr="00DB443A" w:rsidTr="007272D4">
        <w:tc>
          <w:tcPr>
            <w:tcW w:w="9289" w:type="dxa"/>
          </w:tcPr>
          <w:p w:rsidR="00444A98" w:rsidRPr="00DB443A" w:rsidRDefault="00444A98" w:rsidP="000F0860">
            <w:pPr>
              <w:overflowPunct/>
              <w:adjustRightInd/>
              <w:spacing w:line="281" w:lineRule="auto"/>
              <w:jc w:val="center"/>
              <w:textAlignment w:val="auto"/>
            </w:pPr>
            <w:r w:rsidRPr="00DB443A">
              <w:t>_____________</w:t>
            </w:r>
          </w:p>
          <w:p w:rsidR="00444A98" w:rsidRPr="00DB443A" w:rsidRDefault="00444A98" w:rsidP="000F0860">
            <w:pPr>
              <w:overflowPunct/>
              <w:adjustRightInd/>
              <w:spacing w:line="281" w:lineRule="auto"/>
              <w:jc w:val="center"/>
              <w:textAlignment w:val="auto"/>
            </w:pPr>
          </w:p>
          <w:p w:rsidR="003177A9" w:rsidRPr="00DB443A" w:rsidRDefault="00444A98" w:rsidP="000F0860">
            <w:pPr>
              <w:suppressAutoHyphens/>
              <w:overflowPunct/>
              <w:adjustRightInd/>
              <w:spacing w:line="281" w:lineRule="auto"/>
              <w:jc w:val="center"/>
              <w:textAlignment w:val="auto"/>
            </w:pPr>
            <w:r w:rsidRPr="00DB443A">
              <w:t xml:space="preserve">Raportor: </w:t>
            </w:r>
            <w:r w:rsidRPr="00DB443A">
              <w:rPr>
                <w:b/>
              </w:rPr>
              <w:t>Csaba BORBOLY (RO-PPE)</w:t>
            </w:r>
          </w:p>
          <w:p w:rsidR="00444A98" w:rsidRPr="00DB443A" w:rsidRDefault="003177A9" w:rsidP="000F0860">
            <w:pPr>
              <w:overflowPunct/>
              <w:adjustRightInd/>
              <w:spacing w:line="281" w:lineRule="auto"/>
              <w:jc w:val="center"/>
              <w:textAlignment w:val="auto"/>
              <w:rPr>
                <w:b/>
              </w:rPr>
            </w:pPr>
            <w:r w:rsidRPr="00DB443A">
              <w:t>Președintele Consiliului Județean Harghita</w:t>
            </w:r>
          </w:p>
          <w:p w:rsidR="00444A98" w:rsidRPr="00DB443A" w:rsidRDefault="00444A98" w:rsidP="000F0860">
            <w:pPr>
              <w:overflowPunct/>
              <w:adjustRightInd/>
              <w:spacing w:line="281" w:lineRule="auto"/>
              <w:jc w:val="center"/>
              <w:textAlignment w:val="auto"/>
              <w:rPr>
                <w:szCs w:val="22"/>
              </w:rPr>
            </w:pPr>
            <w:r w:rsidRPr="00DB443A">
              <w:t>_____________</w:t>
            </w:r>
          </w:p>
        </w:tc>
      </w:tr>
    </w:tbl>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textAlignment w:val="auto"/>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444A98" w:rsidRPr="00DB443A" w:rsidTr="006D78CA">
        <w:tc>
          <w:tcPr>
            <w:tcW w:w="9289" w:type="dxa"/>
            <w:tcBorders>
              <w:top w:val="single" w:sz="4" w:space="0" w:color="auto"/>
              <w:bottom w:val="single" w:sz="4" w:space="0" w:color="auto"/>
            </w:tcBorders>
          </w:tcPr>
          <w:p w:rsidR="008E0B6A" w:rsidRPr="00DB443A" w:rsidRDefault="008E0B6A" w:rsidP="000F0860">
            <w:pPr>
              <w:overflowPunct/>
              <w:adjustRightInd/>
              <w:textAlignment w:val="auto"/>
              <w:rPr>
                <w:b/>
              </w:rPr>
            </w:pPr>
            <w:r w:rsidRPr="00DB443A">
              <w:rPr>
                <w:b/>
                <w:u w:val="single"/>
              </w:rPr>
              <w:t>Termenul de depunere a amendamentelor:</w:t>
            </w:r>
          </w:p>
          <w:p w:rsidR="008E0B6A" w:rsidRPr="00DB443A" w:rsidRDefault="008E0B6A" w:rsidP="000F0860">
            <w:pPr>
              <w:overflowPunct/>
              <w:adjustRightInd/>
              <w:textAlignment w:val="auto"/>
              <w:rPr>
                <w:b/>
              </w:rPr>
            </w:pPr>
          </w:p>
          <w:p w:rsidR="008E0B6A" w:rsidRPr="00DB443A" w:rsidRDefault="008E0B6A" w:rsidP="000F0860">
            <w:pPr>
              <w:overflowPunct/>
              <w:adjustRightInd/>
              <w:textAlignment w:val="auto"/>
            </w:pPr>
            <w:r w:rsidRPr="00DB443A">
              <w:rPr>
                <w:b/>
              </w:rPr>
              <w:t>15 noiembrie 2017, ora 15:00</w:t>
            </w:r>
            <w:r w:rsidRPr="00DB443A">
              <w:t xml:space="preserve"> (ora Bruxelles-ului), cu ajutorul instrumentului online de depunere a amendamentelor (disponibil pe portalul membrilor: </w:t>
            </w:r>
            <w:hyperlink r:id="rId15">
              <w:r w:rsidRPr="00DB443A">
                <w:rPr>
                  <w:rStyle w:val="Hyperlink"/>
                  <w:rFonts w:eastAsiaTheme="majorEastAsia"/>
                </w:rPr>
                <w:t>https://memportal.cor.europa.eu/</w:t>
              </w:r>
            </w:hyperlink>
            <w:r w:rsidRPr="00DB443A">
              <w:t>).</w:t>
            </w:r>
          </w:p>
          <w:p w:rsidR="008E0B6A" w:rsidRPr="00DB443A" w:rsidRDefault="008E0B6A" w:rsidP="000F0860">
            <w:pPr>
              <w:overflowPunct/>
              <w:adjustRightInd/>
              <w:textAlignment w:val="auto"/>
              <w:rPr>
                <w:i/>
              </w:rPr>
            </w:pPr>
          </w:p>
          <w:p w:rsidR="00444A98" w:rsidRPr="00DB443A" w:rsidRDefault="008E0B6A" w:rsidP="000F0860">
            <w:pPr>
              <w:overflowPunct/>
              <w:adjustRightInd/>
              <w:spacing w:line="281" w:lineRule="auto"/>
              <w:textAlignment w:val="auto"/>
              <w:rPr>
                <w:bCs/>
                <w:iCs/>
                <w:szCs w:val="22"/>
              </w:rPr>
            </w:pPr>
            <w:r w:rsidRPr="00DB443A">
              <w:rPr>
                <w:u w:val="single"/>
              </w:rPr>
              <w:t>Numărul necesar de semnături</w:t>
            </w:r>
            <w:r w:rsidRPr="00DB443A">
              <w:t>: 6</w:t>
            </w:r>
          </w:p>
        </w:tc>
      </w:tr>
    </w:tbl>
    <w:p w:rsidR="000D6A84" w:rsidRPr="00DB443A" w:rsidRDefault="000D6A84" w:rsidP="000F0860">
      <w:pPr>
        <w:overflowPunct/>
        <w:adjustRightInd/>
        <w:spacing w:line="281" w:lineRule="auto"/>
        <w:textAlignment w:val="auto"/>
      </w:pPr>
    </w:p>
    <w:p w:rsidR="000D6A84" w:rsidRPr="00DB443A" w:rsidRDefault="000D6A84" w:rsidP="000F0860">
      <w:pPr>
        <w:tabs>
          <w:tab w:val="left" w:pos="440"/>
        </w:tabs>
        <w:overflowPunct/>
        <w:adjustRightInd/>
        <w:spacing w:line="281" w:lineRule="auto"/>
        <w:ind w:left="440" w:hanging="440"/>
        <w:textAlignment w:val="auto"/>
        <w:sectPr w:rsidR="000D6A84" w:rsidRPr="00DB443A" w:rsidSect="00DB443A">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444A98" w:rsidRPr="00DB443A" w:rsidTr="006D78CA">
        <w:trPr>
          <w:trHeight w:val="12474"/>
        </w:trPr>
        <w:tc>
          <w:tcPr>
            <w:tcW w:w="9289" w:type="dxa"/>
            <w:vAlign w:val="bottom"/>
          </w:tcPr>
          <w:p w:rsidR="006A5576" w:rsidRPr="00DB443A" w:rsidRDefault="006A5576" w:rsidP="000F0860">
            <w:pPr>
              <w:overflowPunct/>
              <w:adjustRightInd/>
              <w:spacing w:line="281" w:lineRule="auto"/>
              <w:textAlignment w:val="auto"/>
              <w:rPr>
                <w:u w:val="single"/>
              </w:rPr>
            </w:pPr>
            <w:r w:rsidRPr="00DB443A">
              <w:rPr>
                <w:u w:val="single"/>
              </w:rPr>
              <w:lastRenderedPageBreak/>
              <w:t>Documente de referință</w:t>
            </w:r>
          </w:p>
          <w:p w:rsidR="006A5576" w:rsidRPr="00DB443A" w:rsidRDefault="006A5576" w:rsidP="000F0860">
            <w:pPr>
              <w:overflowPunct/>
              <w:adjustRightInd/>
              <w:spacing w:line="281" w:lineRule="auto"/>
              <w:textAlignment w:val="auto"/>
            </w:pPr>
          </w:p>
          <w:p w:rsidR="006A5576" w:rsidRPr="00DB443A" w:rsidRDefault="006A5576" w:rsidP="000F0860">
            <w:pPr>
              <w:overflowPunct/>
              <w:adjustRightInd/>
              <w:spacing w:line="281" w:lineRule="auto"/>
              <w:textAlignment w:val="auto"/>
            </w:pPr>
            <w:r w:rsidRPr="00DB443A">
              <w:t>Comunicare a Comisiei către Parlamentul European, Consiliu, Comitetul Economic și Social European și Comitetul Regiunilor privind o nouă agendă a UE pentru învățământul superior</w:t>
            </w:r>
          </w:p>
          <w:p w:rsidR="006A5576" w:rsidRPr="00DB443A" w:rsidRDefault="006A5576" w:rsidP="000F0860">
            <w:pPr>
              <w:overflowPunct/>
              <w:adjustRightInd/>
              <w:spacing w:line="281" w:lineRule="auto"/>
              <w:textAlignment w:val="auto"/>
            </w:pPr>
            <w:r w:rsidRPr="00DB443A">
              <w:t>COM(2017) 247 final</w:t>
            </w:r>
          </w:p>
          <w:p w:rsidR="006A5576" w:rsidRPr="00DB443A" w:rsidRDefault="006A5576" w:rsidP="000F0860">
            <w:pPr>
              <w:overflowPunct/>
              <w:adjustRightInd/>
              <w:spacing w:line="281" w:lineRule="auto"/>
              <w:textAlignment w:val="auto"/>
            </w:pPr>
          </w:p>
          <w:p w:rsidR="006A5576" w:rsidRPr="00DB443A" w:rsidRDefault="006A5576" w:rsidP="000F0860">
            <w:pPr>
              <w:overflowPunct/>
              <w:adjustRightInd/>
              <w:spacing w:line="281" w:lineRule="auto"/>
              <w:textAlignment w:val="auto"/>
            </w:pPr>
            <w:r w:rsidRPr="00DB443A">
              <w:t>Comunicarea Comisiei către Parlamentul European, Consiliu, Comitetul Economic și Social European și Comitetul Regiunilor – Dezvoltarea școlilor și calitatea excelentă a predării pentru un început bun în viață</w:t>
            </w:r>
          </w:p>
          <w:p w:rsidR="006A5576" w:rsidRPr="00DB443A" w:rsidRDefault="006A5576" w:rsidP="000F0860">
            <w:pPr>
              <w:overflowPunct/>
              <w:adjustRightInd/>
              <w:spacing w:line="281" w:lineRule="auto"/>
              <w:textAlignment w:val="auto"/>
            </w:pPr>
            <w:r w:rsidRPr="00DB443A">
              <w:t>COM(2017) 248 final</w:t>
            </w:r>
          </w:p>
          <w:p w:rsidR="006A5576" w:rsidRPr="00DB443A" w:rsidRDefault="006A5576" w:rsidP="000F0860">
            <w:pPr>
              <w:overflowPunct/>
              <w:adjustRightInd/>
              <w:spacing w:line="281" w:lineRule="auto"/>
              <w:textAlignment w:val="auto"/>
            </w:pPr>
          </w:p>
          <w:p w:rsidR="006A5576" w:rsidRPr="00DB443A" w:rsidRDefault="006A5576" w:rsidP="000F0860">
            <w:pPr>
              <w:overflowPunct/>
              <w:adjustRightInd/>
              <w:spacing w:line="281" w:lineRule="auto"/>
              <w:textAlignment w:val="auto"/>
            </w:pPr>
            <w:r w:rsidRPr="00DB443A">
              <w:t>Propunere de recomandare a Consiliului privind monitorizarea parcursului profesional al absolvenților</w:t>
            </w:r>
          </w:p>
          <w:p w:rsidR="006A5576" w:rsidRPr="00DB443A" w:rsidRDefault="006A5576" w:rsidP="000F0860">
            <w:pPr>
              <w:overflowPunct/>
              <w:adjustRightInd/>
              <w:spacing w:line="281" w:lineRule="auto"/>
              <w:textAlignment w:val="auto"/>
            </w:pPr>
            <w:r w:rsidRPr="00DB443A">
              <w:t>COM(2017) 249 final</w:t>
            </w:r>
          </w:p>
          <w:p w:rsidR="00444A98" w:rsidRPr="00DB443A" w:rsidRDefault="00444A98" w:rsidP="000F0860">
            <w:pPr>
              <w:overflowPunct/>
              <w:adjustRightInd/>
              <w:spacing w:line="281" w:lineRule="auto"/>
              <w:textAlignment w:val="auto"/>
              <w:rPr>
                <w:szCs w:val="22"/>
              </w:rPr>
            </w:pPr>
          </w:p>
        </w:tc>
      </w:tr>
    </w:tbl>
    <w:p w:rsidR="00444A98" w:rsidRPr="00DB443A" w:rsidRDefault="00444A98" w:rsidP="000F0860">
      <w:pPr>
        <w:overflowPunct/>
        <w:adjustRightInd/>
        <w:spacing w:line="281" w:lineRule="auto"/>
        <w:textAlignment w:val="auto"/>
      </w:pPr>
    </w:p>
    <w:p w:rsidR="00444A98" w:rsidRPr="00DB443A" w:rsidRDefault="00444A98" w:rsidP="000F0860">
      <w:pPr>
        <w:overflowPunct/>
        <w:adjustRightInd/>
        <w:spacing w:line="281" w:lineRule="auto"/>
        <w:jc w:val="center"/>
        <w:textAlignment w:val="auto"/>
      </w:pPr>
      <w:r w:rsidRPr="00DB443A">
        <w:br w:type="page"/>
      </w:r>
      <w:r w:rsidRPr="00DB443A">
        <w:rPr>
          <w:b/>
        </w:rPr>
        <w:lastRenderedPageBreak/>
        <w:t>Proiect de aviz al Comitetului European al Regiunilor - Modernizarea învățământului preuniversitar şi a învățământului superior</w:t>
      </w:r>
    </w:p>
    <w:p w:rsidR="007D134B" w:rsidRPr="006B31BF" w:rsidRDefault="007D134B" w:rsidP="000F0860">
      <w:pPr>
        <w:overflowPunct/>
        <w:adjustRightInd/>
        <w:spacing w:line="281" w:lineRule="auto"/>
        <w:textAlignment w:val="auto"/>
        <w:rPr>
          <w:sz w:val="20"/>
        </w:rPr>
      </w:pPr>
    </w:p>
    <w:p w:rsidR="007D134B" w:rsidRPr="00DB443A" w:rsidRDefault="000F0860" w:rsidP="000F0860">
      <w:pPr>
        <w:pStyle w:val="ListParagraph"/>
        <w:numPr>
          <w:ilvl w:val="0"/>
          <w:numId w:val="15"/>
        </w:numPr>
        <w:overflowPunct/>
        <w:adjustRightInd/>
        <w:spacing w:line="281" w:lineRule="auto"/>
        <w:ind w:left="567" w:hanging="567"/>
        <w:textAlignment w:val="auto"/>
      </w:pPr>
      <w:r w:rsidRPr="00DB443A">
        <w:rPr>
          <w:b/>
        </w:rPr>
        <w:t>RECOMANDĂRI DE AMENDAMENTE</w:t>
      </w:r>
    </w:p>
    <w:p w:rsidR="007D134B" w:rsidRPr="006B31BF" w:rsidRDefault="007D134B" w:rsidP="000F0860">
      <w:pPr>
        <w:overflowPunct/>
        <w:adjustRightInd/>
        <w:spacing w:line="281" w:lineRule="auto"/>
        <w:textAlignment w:val="auto"/>
        <w:rPr>
          <w:sz w:val="20"/>
        </w:rPr>
      </w:pPr>
    </w:p>
    <w:p w:rsidR="007D134B" w:rsidRPr="00DB443A" w:rsidRDefault="007D134B" w:rsidP="000F0860">
      <w:pPr>
        <w:overflowPunct/>
        <w:adjustRightInd/>
        <w:spacing w:line="281" w:lineRule="auto"/>
        <w:jc w:val="center"/>
        <w:textAlignment w:val="auto"/>
        <w:rPr>
          <w:b/>
        </w:rPr>
      </w:pPr>
      <w:r w:rsidRPr="00DB443A">
        <w:rPr>
          <w:b/>
        </w:rPr>
        <w:t>Amendamentul 1</w:t>
      </w:r>
    </w:p>
    <w:p w:rsidR="00DF15C6" w:rsidRPr="00DB443A" w:rsidRDefault="00DF15C6" w:rsidP="000F0860">
      <w:pPr>
        <w:overflowPunct/>
        <w:adjustRightInd/>
        <w:spacing w:line="281" w:lineRule="auto"/>
        <w:jc w:val="center"/>
        <w:textAlignment w:val="auto"/>
        <w:rPr>
          <w:b/>
        </w:rPr>
      </w:pPr>
      <w:r w:rsidRPr="00DB443A">
        <w:t>Propunere de recomandare a Consiliului privind monitorizarea parcursului profesional al absolvenților</w:t>
      </w:r>
    </w:p>
    <w:p w:rsidR="00BC3580" w:rsidRPr="00DB443A" w:rsidRDefault="00091F83" w:rsidP="000F0860">
      <w:pPr>
        <w:overflowPunct/>
        <w:adjustRightInd/>
        <w:spacing w:line="281" w:lineRule="auto"/>
        <w:jc w:val="center"/>
        <w:textAlignment w:val="auto"/>
      </w:pPr>
      <w:r w:rsidRPr="00DB443A">
        <w:t>Considerentul 1</w:t>
      </w:r>
    </w:p>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DB443A" w:rsidTr="00082865">
        <w:tc>
          <w:tcPr>
            <w:tcW w:w="4643" w:type="dxa"/>
          </w:tcPr>
          <w:p w:rsidR="007D134B" w:rsidRPr="00DB443A" w:rsidRDefault="007D134B" w:rsidP="000F0860">
            <w:pPr>
              <w:overflowPunct/>
              <w:adjustRightInd/>
              <w:spacing w:line="281" w:lineRule="auto"/>
              <w:jc w:val="center"/>
              <w:textAlignment w:val="auto"/>
              <w:rPr>
                <w:szCs w:val="22"/>
              </w:rPr>
            </w:pPr>
            <w:r w:rsidRPr="00DB443A">
              <w:rPr>
                <w:b/>
                <w:i/>
              </w:rPr>
              <w:t>Textul propus de Comisia Europeană</w:t>
            </w:r>
          </w:p>
        </w:tc>
        <w:tc>
          <w:tcPr>
            <w:tcW w:w="4646" w:type="dxa"/>
          </w:tcPr>
          <w:p w:rsidR="007D134B" w:rsidRPr="00DB443A" w:rsidRDefault="007D134B" w:rsidP="000F0860">
            <w:pPr>
              <w:overflowPunct/>
              <w:adjustRightInd/>
              <w:spacing w:line="281" w:lineRule="auto"/>
              <w:jc w:val="center"/>
              <w:textAlignment w:val="auto"/>
              <w:rPr>
                <w:szCs w:val="22"/>
              </w:rPr>
            </w:pPr>
            <w:r w:rsidRPr="00DB443A">
              <w:rPr>
                <w:b/>
                <w:i/>
              </w:rPr>
              <w:t>Amendamentul CoR</w:t>
            </w:r>
          </w:p>
        </w:tc>
      </w:tr>
      <w:tr w:rsidR="007D134B" w:rsidRPr="00DB443A" w:rsidTr="00082865">
        <w:tc>
          <w:tcPr>
            <w:tcW w:w="4643" w:type="dxa"/>
          </w:tcPr>
          <w:p w:rsidR="007D134B" w:rsidRPr="00DB443A" w:rsidRDefault="007D134B" w:rsidP="000F0860">
            <w:pPr>
              <w:overflowPunct/>
              <w:adjustRightInd/>
              <w:spacing w:line="281" w:lineRule="auto"/>
              <w:textAlignment w:val="auto"/>
              <w:rPr>
                <w:szCs w:val="22"/>
              </w:rPr>
            </w:pPr>
            <w:r w:rsidRPr="00DB443A">
              <w:t>Capacitatea de inserție profesională a absolvenților care și-au încheiat educația și formarea profesională reprezintă un motiv de preocupare în multe state membre, în special deoarece rata de ocupare a absolvenților recenți de învățământ superior din Uniune nu s-a redresat complet după criza financiară din 2008, iar situația ocupării forței de muncă în ceea ce-i privește pe absolvenții de programe VET variază de la un stat membru la altul.</w:t>
            </w:r>
          </w:p>
        </w:tc>
        <w:tc>
          <w:tcPr>
            <w:tcW w:w="4646" w:type="dxa"/>
          </w:tcPr>
          <w:p w:rsidR="007D134B" w:rsidRPr="00DB443A" w:rsidRDefault="007D134B" w:rsidP="000F0860">
            <w:pPr>
              <w:overflowPunct/>
              <w:adjustRightInd/>
              <w:spacing w:line="281" w:lineRule="auto"/>
              <w:textAlignment w:val="auto"/>
              <w:rPr>
                <w:szCs w:val="22"/>
              </w:rPr>
            </w:pPr>
            <w:r w:rsidRPr="00DB443A">
              <w:t xml:space="preserve">Capacitatea de inserție profesională a absolvenților care și-au încheiat educația și formarea profesională reprezintă un motiv de preocupare în multe state membre, în special deoarece rata de ocupare a absolvenților recenți de învățământ superior din Uniune nu s-a redresat complet după criza financiară din 2008, iar situația ocupării forței de muncă în ceea ce-i privește pe absolvenții de programe VET variază de la un stat membru la altul </w:t>
            </w:r>
            <w:r w:rsidRPr="00DB443A">
              <w:rPr>
                <w:b/>
                <w:i/>
              </w:rPr>
              <w:t>și de la o regiune la alta</w:t>
            </w:r>
            <w:r w:rsidRPr="00DB443A">
              <w:t>.</w:t>
            </w:r>
          </w:p>
        </w:tc>
      </w:tr>
    </w:tbl>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DB443A" w:rsidTr="00082865">
        <w:tc>
          <w:tcPr>
            <w:tcW w:w="9289" w:type="dxa"/>
          </w:tcPr>
          <w:p w:rsidR="007D134B" w:rsidRPr="00DB443A" w:rsidRDefault="007D134B" w:rsidP="000F0860">
            <w:pPr>
              <w:overflowPunct/>
              <w:adjustRightInd/>
              <w:spacing w:line="281" w:lineRule="auto"/>
              <w:jc w:val="center"/>
              <w:textAlignment w:val="auto"/>
              <w:rPr>
                <w:b/>
                <w:i/>
                <w:szCs w:val="22"/>
              </w:rPr>
            </w:pPr>
            <w:r w:rsidRPr="00DB443A">
              <w:rPr>
                <w:b/>
                <w:i/>
              </w:rPr>
              <w:t>Expunere de motive</w:t>
            </w:r>
          </w:p>
        </w:tc>
      </w:tr>
      <w:tr w:rsidR="007D134B" w:rsidRPr="00DB443A" w:rsidTr="00082865">
        <w:tc>
          <w:tcPr>
            <w:tcW w:w="9289" w:type="dxa"/>
          </w:tcPr>
          <w:p w:rsidR="007D134B" w:rsidRPr="00DB443A" w:rsidRDefault="007D134B" w:rsidP="000F0860">
            <w:pPr>
              <w:overflowPunct/>
              <w:adjustRightInd/>
              <w:spacing w:line="281" w:lineRule="auto"/>
              <w:textAlignment w:val="auto"/>
              <w:rPr>
                <w:szCs w:val="22"/>
              </w:rPr>
            </w:pPr>
            <w:r w:rsidRPr="00DB443A">
              <w:t>Pe lângă discrepanțele observate între statele membre, trebuie luate în considerare și disparitățile regionale.</w:t>
            </w:r>
          </w:p>
        </w:tc>
      </w:tr>
    </w:tbl>
    <w:p w:rsidR="007D134B" w:rsidRPr="006B31BF" w:rsidRDefault="007D134B" w:rsidP="000F0860">
      <w:pPr>
        <w:overflowPunct/>
        <w:adjustRightInd/>
        <w:spacing w:line="281" w:lineRule="auto"/>
        <w:textAlignment w:val="auto"/>
        <w:rPr>
          <w:sz w:val="20"/>
        </w:rPr>
      </w:pPr>
    </w:p>
    <w:p w:rsidR="007D134B" w:rsidRPr="00DB443A" w:rsidRDefault="007D134B" w:rsidP="000F0860">
      <w:pPr>
        <w:overflowPunct/>
        <w:adjustRightInd/>
        <w:spacing w:line="281" w:lineRule="auto"/>
        <w:jc w:val="center"/>
        <w:textAlignment w:val="auto"/>
        <w:rPr>
          <w:b/>
        </w:rPr>
      </w:pPr>
      <w:r w:rsidRPr="00DB443A">
        <w:rPr>
          <w:b/>
        </w:rPr>
        <w:t>Amendamentul 2</w:t>
      </w:r>
    </w:p>
    <w:p w:rsidR="00DF15C6" w:rsidRPr="00DB443A" w:rsidRDefault="00DF15C6" w:rsidP="000F0860">
      <w:pPr>
        <w:overflowPunct/>
        <w:adjustRightInd/>
        <w:spacing w:line="281" w:lineRule="auto"/>
        <w:jc w:val="center"/>
        <w:textAlignment w:val="auto"/>
        <w:rPr>
          <w:b/>
        </w:rPr>
      </w:pPr>
      <w:r w:rsidRPr="00DB443A">
        <w:t>Propunere de recomandare a Consiliului privind monitorizarea parcursului profesional al absolvenților</w:t>
      </w:r>
    </w:p>
    <w:p w:rsidR="007D134B" w:rsidRPr="00DB443A" w:rsidRDefault="00091F83" w:rsidP="000F0860">
      <w:pPr>
        <w:overflowPunct/>
        <w:adjustRightInd/>
        <w:spacing w:line="281" w:lineRule="auto"/>
        <w:jc w:val="center"/>
        <w:textAlignment w:val="auto"/>
      </w:pPr>
      <w:r w:rsidRPr="00DB443A">
        <w:t>Considerentul 10</w:t>
      </w:r>
    </w:p>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DB443A" w:rsidTr="00082865">
        <w:tc>
          <w:tcPr>
            <w:tcW w:w="4643" w:type="dxa"/>
          </w:tcPr>
          <w:p w:rsidR="007D134B" w:rsidRPr="00DB443A" w:rsidRDefault="007D134B" w:rsidP="000F0860">
            <w:pPr>
              <w:overflowPunct/>
              <w:adjustRightInd/>
              <w:spacing w:line="281" w:lineRule="auto"/>
              <w:jc w:val="center"/>
              <w:textAlignment w:val="auto"/>
              <w:rPr>
                <w:szCs w:val="22"/>
              </w:rPr>
            </w:pPr>
            <w:r w:rsidRPr="00DB443A">
              <w:rPr>
                <w:b/>
                <w:i/>
              </w:rPr>
              <w:t>Textul propus de Comisia Europeană</w:t>
            </w:r>
          </w:p>
        </w:tc>
        <w:tc>
          <w:tcPr>
            <w:tcW w:w="4646" w:type="dxa"/>
          </w:tcPr>
          <w:p w:rsidR="007D134B" w:rsidRPr="00DB443A" w:rsidRDefault="007D134B" w:rsidP="000F0860">
            <w:pPr>
              <w:overflowPunct/>
              <w:adjustRightInd/>
              <w:spacing w:line="281" w:lineRule="auto"/>
              <w:jc w:val="center"/>
              <w:textAlignment w:val="auto"/>
              <w:rPr>
                <w:szCs w:val="22"/>
              </w:rPr>
            </w:pPr>
            <w:r w:rsidRPr="00DB443A">
              <w:rPr>
                <w:b/>
                <w:i/>
              </w:rPr>
              <w:t>Amendamentul CoR</w:t>
            </w:r>
          </w:p>
        </w:tc>
      </w:tr>
      <w:tr w:rsidR="007D134B" w:rsidRPr="00DB443A" w:rsidTr="00082865">
        <w:tc>
          <w:tcPr>
            <w:tcW w:w="4643" w:type="dxa"/>
          </w:tcPr>
          <w:p w:rsidR="007D134B" w:rsidRPr="00DB443A" w:rsidRDefault="007D134B" w:rsidP="000F0860">
            <w:pPr>
              <w:overflowPunct/>
              <w:adjustRightInd/>
              <w:spacing w:line="281" w:lineRule="auto"/>
              <w:textAlignment w:val="auto"/>
              <w:rPr>
                <w:szCs w:val="22"/>
              </w:rPr>
            </w:pPr>
            <w:r w:rsidRPr="00DB443A">
              <w:t>De asemenea, statele membre s-au angajat să asigure informații și reacții integrate constante, angajament asumat în cadrul concluziilor de la Riga din 2015 privind un nou set de obiective pe termen mediu în domeniul VET pentru perioada 2015-2020, prin acțiuni precum utilizarea datelor cu privire la capacitatea de inserție profesională a absolvenților VET și a unei combinații de date privind învățarea, intrarea pe piața forței de muncă și cariera, dezvoltarea capacităților actorilor de la nivel național de a utiliza datele referitoare la absolvenți în vederea adaptării programelor de cursuri, a profilurilor profesionale și a conținutului calificărilor din învățământul profesional și tehnic la noile cerințe economice și tehnice.</w:t>
            </w:r>
          </w:p>
        </w:tc>
        <w:tc>
          <w:tcPr>
            <w:tcW w:w="4646" w:type="dxa"/>
          </w:tcPr>
          <w:p w:rsidR="007D134B" w:rsidRPr="00DB443A" w:rsidRDefault="007D134B" w:rsidP="000F0860">
            <w:pPr>
              <w:overflowPunct/>
              <w:adjustRightInd/>
              <w:spacing w:line="281" w:lineRule="auto"/>
              <w:textAlignment w:val="auto"/>
              <w:rPr>
                <w:szCs w:val="22"/>
              </w:rPr>
            </w:pPr>
            <w:r w:rsidRPr="00DB443A">
              <w:t>De asemenea, statele membre s-au angajat să asigure informații și reacții integrate constante, angajament asumat în cadrul concluziilor de la Riga din 2015 privind un nou set de obiective pe termen mediu în domeniul VET pentru perioada 2015-2020, prin acțiuni precum utilizarea datelor cu privire la capacitatea de inserție profesională a absolvenților VET și a unei combinații de date privind învățarea, intrarea pe piața forței de muncă și cariera, dezvoltarea capacităților actorilor de la nivel național</w:t>
            </w:r>
            <w:r w:rsidRPr="00DB443A">
              <w:rPr>
                <w:b/>
                <w:i/>
              </w:rPr>
              <w:t>, regional și local</w:t>
            </w:r>
            <w:r w:rsidRPr="00DB443A">
              <w:t xml:space="preserve"> de a utiliza datele referitoare la absolvenți în vederea adaptării programelor de cursuri, a profilurilor profesionale și a conținutului calificărilor din învățământul profesional și tehnic la noile cerințe economice și tehnice.</w:t>
            </w:r>
          </w:p>
        </w:tc>
      </w:tr>
    </w:tbl>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DB443A" w:rsidTr="00082865">
        <w:tc>
          <w:tcPr>
            <w:tcW w:w="9289" w:type="dxa"/>
          </w:tcPr>
          <w:p w:rsidR="007D134B" w:rsidRPr="00DB443A" w:rsidRDefault="007D134B" w:rsidP="000F0860">
            <w:pPr>
              <w:overflowPunct/>
              <w:adjustRightInd/>
              <w:spacing w:line="281" w:lineRule="auto"/>
              <w:jc w:val="center"/>
              <w:textAlignment w:val="auto"/>
              <w:rPr>
                <w:b/>
                <w:i/>
                <w:szCs w:val="22"/>
              </w:rPr>
            </w:pPr>
            <w:r w:rsidRPr="00DB443A">
              <w:rPr>
                <w:b/>
                <w:i/>
              </w:rPr>
              <w:t>Expunere de motive</w:t>
            </w:r>
          </w:p>
        </w:tc>
      </w:tr>
      <w:tr w:rsidR="007D134B" w:rsidRPr="00DB443A" w:rsidTr="00082865">
        <w:tc>
          <w:tcPr>
            <w:tcW w:w="9289" w:type="dxa"/>
          </w:tcPr>
          <w:p w:rsidR="007D134B" w:rsidRPr="00DB443A" w:rsidRDefault="007D134B" w:rsidP="000F0860">
            <w:pPr>
              <w:overflowPunct/>
              <w:adjustRightInd/>
              <w:spacing w:line="281" w:lineRule="auto"/>
              <w:textAlignment w:val="auto"/>
              <w:rPr>
                <w:szCs w:val="22"/>
              </w:rPr>
            </w:pPr>
            <w:r w:rsidRPr="00DB443A">
              <w:t>În domeniul educației, precum și pe piața forței de muncă, actorii locali și regionali joacă, la rândul lor, un rol important în momentul de față.</w:t>
            </w:r>
          </w:p>
        </w:tc>
      </w:tr>
    </w:tbl>
    <w:p w:rsidR="00AD29E7" w:rsidRPr="006B31BF" w:rsidRDefault="00AD29E7" w:rsidP="000F0860">
      <w:pPr>
        <w:overflowPunct/>
        <w:adjustRightInd/>
        <w:spacing w:line="281" w:lineRule="auto"/>
        <w:textAlignment w:val="auto"/>
        <w:rPr>
          <w:sz w:val="20"/>
        </w:rPr>
      </w:pPr>
    </w:p>
    <w:p w:rsidR="007D134B" w:rsidRPr="00DB443A" w:rsidRDefault="007D134B" w:rsidP="000F0860">
      <w:pPr>
        <w:overflowPunct/>
        <w:adjustRightInd/>
        <w:spacing w:line="281" w:lineRule="auto"/>
        <w:jc w:val="center"/>
        <w:textAlignment w:val="auto"/>
        <w:rPr>
          <w:b/>
        </w:rPr>
      </w:pPr>
      <w:r w:rsidRPr="00DB443A">
        <w:rPr>
          <w:b/>
        </w:rPr>
        <w:t>Amendamentul 3</w:t>
      </w:r>
    </w:p>
    <w:p w:rsidR="00DF15C6" w:rsidRPr="00DB443A" w:rsidRDefault="00DF15C6" w:rsidP="000F0860">
      <w:pPr>
        <w:overflowPunct/>
        <w:adjustRightInd/>
        <w:spacing w:line="281" w:lineRule="auto"/>
        <w:jc w:val="center"/>
        <w:textAlignment w:val="auto"/>
        <w:rPr>
          <w:b/>
        </w:rPr>
      </w:pPr>
      <w:r w:rsidRPr="00DB443A">
        <w:t>Propunere de recomandare a Consiliului privind monitorizarea parcursului profesional al absolvenților</w:t>
      </w:r>
    </w:p>
    <w:p w:rsidR="007D134B" w:rsidRPr="00DB443A" w:rsidRDefault="007D134B" w:rsidP="000F0860">
      <w:pPr>
        <w:overflowPunct/>
        <w:adjustRightInd/>
        <w:spacing w:line="281" w:lineRule="auto"/>
        <w:jc w:val="center"/>
        <w:textAlignment w:val="auto"/>
      </w:pPr>
      <w:r w:rsidRPr="00DB443A">
        <w:t>Paragraful 1</w:t>
      </w:r>
    </w:p>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DB443A" w:rsidTr="00082865">
        <w:tc>
          <w:tcPr>
            <w:tcW w:w="4643" w:type="dxa"/>
          </w:tcPr>
          <w:p w:rsidR="007D134B" w:rsidRPr="00DB443A" w:rsidRDefault="007D134B" w:rsidP="000F0860">
            <w:pPr>
              <w:overflowPunct/>
              <w:adjustRightInd/>
              <w:spacing w:line="281" w:lineRule="auto"/>
              <w:jc w:val="center"/>
              <w:textAlignment w:val="auto"/>
              <w:rPr>
                <w:szCs w:val="22"/>
              </w:rPr>
            </w:pPr>
            <w:r w:rsidRPr="00DB443A">
              <w:rPr>
                <w:b/>
                <w:i/>
              </w:rPr>
              <w:t>Textul propus de Comisia Europeană</w:t>
            </w:r>
          </w:p>
        </w:tc>
        <w:tc>
          <w:tcPr>
            <w:tcW w:w="4646" w:type="dxa"/>
          </w:tcPr>
          <w:p w:rsidR="007D134B" w:rsidRPr="00DB443A" w:rsidRDefault="007D134B" w:rsidP="000F0860">
            <w:pPr>
              <w:overflowPunct/>
              <w:adjustRightInd/>
              <w:spacing w:line="281" w:lineRule="auto"/>
              <w:jc w:val="center"/>
              <w:textAlignment w:val="auto"/>
              <w:rPr>
                <w:szCs w:val="22"/>
              </w:rPr>
            </w:pPr>
            <w:r w:rsidRPr="00DB443A">
              <w:rPr>
                <w:b/>
                <w:i/>
              </w:rPr>
              <w:t>Amendamentul CoR</w:t>
            </w:r>
          </w:p>
        </w:tc>
      </w:tr>
      <w:tr w:rsidR="007D134B" w:rsidRPr="00DB443A" w:rsidTr="00082865">
        <w:tc>
          <w:tcPr>
            <w:tcW w:w="4643" w:type="dxa"/>
          </w:tcPr>
          <w:p w:rsidR="007D134B" w:rsidRPr="00DB443A" w:rsidRDefault="007D134B" w:rsidP="006B31BF">
            <w:pPr>
              <w:overflowPunct/>
              <w:adjustRightInd/>
              <w:spacing w:line="281" w:lineRule="auto"/>
              <w:ind w:left="284" w:hanging="284"/>
              <w:textAlignment w:val="auto"/>
              <w:rPr>
                <w:szCs w:val="22"/>
              </w:rPr>
            </w:pPr>
            <w:r w:rsidRPr="00DB443A">
              <w:t>(a)</w:t>
            </w:r>
            <w:r w:rsidR="006B31BF" w:rsidRPr="004C063D">
              <w:tab/>
            </w:r>
            <w:r w:rsidRPr="00DB443A">
              <w:t>colectarea de date administrative relevante din bazele de date din domeniul educației, din domeniul fiscal și din cel al securității sociale;</w:t>
            </w:r>
          </w:p>
        </w:tc>
        <w:tc>
          <w:tcPr>
            <w:tcW w:w="4646" w:type="dxa"/>
          </w:tcPr>
          <w:p w:rsidR="007D134B" w:rsidRPr="00DB443A" w:rsidRDefault="006B31BF" w:rsidP="006B31BF">
            <w:pPr>
              <w:overflowPunct/>
              <w:adjustRightInd/>
              <w:spacing w:line="281" w:lineRule="auto"/>
              <w:ind w:left="284" w:hanging="284"/>
              <w:textAlignment w:val="auto"/>
              <w:rPr>
                <w:szCs w:val="22"/>
              </w:rPr>
            </w:pPr>
            <w:r>
              <w:t>(a)</w:t>
            </w:r>
            <w:r w:rsidRPr="004C063D">
              <w:tab/>
            </w:r>
            <w:r w:rsidR="007D134B" w:rsidRPr="00DB443A">
              <w:t>colectarea de date administrative relevante din bazele de date din domeniul educației, din domeniul fiscal și din cel al securității sociale</w:t>
            </w:r>
            <w:r w:rsidR="007D134B" w:rsidRPr="00DB443A">
              <w:rPr>
                <w:b/>
                <w:i/>
              </w:rPr>
              <w:t>, fără ca aceasta să genereze pentru autoritățile regionale sau locale o sarcină suplimentară</w:t>
            </w:r>
            <w:r w:rsidR="007D134B" w:rsidRPr="00DB443A">
              <w:rPr>
                <w:i/>
              </w:rPr>
              <w:t>;</w:t>
            </w:r>
            <w:r w:rsidR="007D134B" w:rsidRPr="00DB443A">
              <w:t> </w:t>
            </w:r>
          </w:p>
        </w:tc>
      </w:tr>
    </w:tbl>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DB443A" w:rsidTr="00082865">
        <w:tc>
          <w:tcPr>
            <w:tcW w:w="9289" w:type="dxa"/>
          </w:tcPr>
          <w:p w:rsidR="007D134B" w:rsidRPr="00DB443A" w:rsidRDefault="007D134B" w:rsidP="000F0860">
            <w:pPr>
              <w:overflowPunct/>
              <w:adjustRightInd/>
              <w:spacing w:line="281" w:lineRule="auto"/>
              <w:jc w:val="center"/>
              <w:textAlignment w:val="auto"/>
              <w:rPr>
                <w:b/>
                <w:i/>
                <w:szCs w:val="22"/>
              </w:rPr>
            </w:pPr>
            <w:r w:rsidRPr="00DB443A">
              <w:rPr>
                <w:b/>
                <w:i/>
              </w:rPr>
              <w:t>Expunere de motive</w:t>
            </w:r>
          </w:p>
        </w:tc>
      </w:tr>
      <w:tr w:rsidR="007D134B" w:rsidRPr="00DB443A" w:rsidTr="00082865">
        <w:tc>
          <w:tcPr>
            <w:tcW w:w="9289" w:type="dxa"/>
          </w:tcPr>
          <w:p w:rsidR="007D134B" w:rsidRPr="00DB443A" w:rsidRDefault="007D134B" w:rsidP="000F0860">
            <w:pPr>
              <w:overflowPunct/>
              <w:adjustRightInd/>
              <w:spacing w:line="281" w:lineRule="auto"/>
              <w:textAlignment w:val="auto"/>
              <w:rPr>
                <w:szCs w:val="22"/>
              </w:rPr>
            </w:pPr>
            <w:r w:rsidRPr="00DB443A">
              <w:t>Noua sarcină administrativă apărută ca urmare a acestei măsuri nu trebuie să genereze necesități bugetare suplimentare, care să depășească ceea ce este necesar pentru a atinge rezultatele dorite.</w:t>
            </w:r>
          </w:p>
        </w:tc>
      </w:tr>
    </w:tbl>
    <w:p w:rsidR="00A731F1" w:rsidRPr="006B31BF" w:rsidRDefault="00A731F1" w:rsidP="000F0860">
      <w:pPr>
        <w:overflowPunct/>
        <w:adjustRightInd/>
        <w:spacing w:line="281" w:lineRule="auto"/>
        <w:textAlignment w:val="auto"/>
        <w:rPr>
          <w:sz w:val="20"/>
        </w:rPr>
      </w:pPr>
    </w:p>
    <w:p w:rsidR="003A60AE" w:rsidRPr="00DB443A" w:rsidRDefault="003A60AE" w:rsidP="000F0860">
      <w:pPr>
        <w:overflowPunct/>
        <w:adjustRightInd/>
        <w:spacing w:line="281" w:lineRule="auto"/>
        <w:jc w:val="center"/>
        <w:textAlignment w:val="auto"/>
        <w:rPr>
          <w:b/>
        </w:rPr>
      </w:pPr>
      <w:r w:rsidRPr="00DB443A">
        <w:rPr>
          <w:b/>
        </w:rPr>
        <w:t>Amendamentul 4</w:t>
      </w:r>
    </w:p>
    <w:p w:rsidR="003A60AE" w:rsidRPr="00DB443A" w:rsidRDefault="003A60AE" w:rsidP="000F0860">
      <w:pPr>
        <w:overflowPunct/>
        <w:adjustRightInd/>
        <w:spacing w:line="281" w:lineRule="auto"/>
        <w:jc w:val="center"/>
        <w:textAlignment w:val="auto"/>
        <w:rPr>
          <w:b/>
        </w:rPr>
      </w:pPr>
      <w:r w:rsidRPr="00DB443A">
        <w:t>Propunere de recomandare a Consiliului privind monitorizarea parcursului profesional al absolvenților</w:t>
      </w:r>
    </w:p>
    <w:p w:rsidR="003A60AE" w:rsidRPr="00DB443A" w:rsidRDefault="003A60AE" w:rsidP="000F0860">
      <w:pPr>
        <w:overflowPunct/>
        <w:adjustRightInd/>
        <w:spacing w:line="281" w:lineRule="auto"/>
        <w:jc w:val="center"/>
        <w:textAlignment w:val="auto"/>
      </w:pPr>
      <w:r w:rsidRPr="00DB443A">
        <w:t>Paragraful 1</w:t>
      </w:r>
    </w:p>
    <w:p w:rsidR="003A60AE" w:rsidRPr="006B31BF" w:rsidRDefault="003A60AE"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3A60AE" w:rsidRPr="00DB443A" w:rsidTr="00221A5D">
        <w:tc>
          <w:tcPr>
            <w:tcW w:w="4643" w:type="dxa"/>
          </w:tcPr>
          <w:p w:rsidR="003A60AE" w:rsidRPr="00DB443A" w:rsidRDefault="003A60AE" w:rsidP="000F0860">
            <w:pPr>
              <w:overflowPunct/>
              <w:adjustRightInd/>
              <w:spacing w:line="281" w:lineRule="auto"/>
              <w:jc w:val="center"/>
              <w:textAlignment w:val="auto"/>
              <w:rPr>
                <w:szCs w:val="22"/>
              </w:rPr>
            </w:pPr>
            <w:r w:rsidRPr="00DB443A">
              <w:rPr>
                <w:b/>
                <w:i/>
              </w:rPr>
              <w:t>Textul propus de Comisia Europeană</w:t>
            </w:r>
          </w:p>
        </w:tc>
        <w:tc>
          <w:tcPr>
            <w:tcW w:w="4646" w:type="dxa"/>
          </w:tcPr>
          <w:p w:rsidR="003A60AE" w:rsidRPr="00DB443A" w:rsidRDefault="003A60AE" w:rsidP="000F0860">
            <w:pPr>
              <w:overflowPunct/>
              <w:adjustRightInd/>
              <w:spacing w:line="281" w:lineRule="auto"/>
              <w:jc w:val="center"/>
              <w:textAlignment w:val="auto"/>
              <w:rPr>
                <w:szCs w:val="22"/>
              </w:rPr>
            </w:pPr>
            <w:r w:rsidRPr="00DB443A">
              <w:rPr>
                <w:b/>
                <w:i/>
              </w:rPr>
              <w:t>Amendamentul CoR</w:t>
            </w:r>
          </w:p>
        </w:tc>
      </w:tr>
      <w:tr w:rsidR="003A60AE" w:rsidRPr="00DB443A" w:rsidTr="00221A5D">
        <w:tc>
          <w:tcPr>
            <w:tcW w:w="4643" w:type="dxa"/>
          </w:tcPr>
          <w:p w:rsidR="003A60AE" w:rsidRPr="00DB443A" w:rsidRDefault="006B31BF" w:rsidP="006B31BF">
            <w:pPr>
              <w:overflowPunct/>
              <w:adjustRightInd/>
              <w:spacing w:line="281" w:lineRule="auto"/>
              <w:ind w:left="284" w:hanging="284"/>
              <w:textAlignment w:val="auto"/>
              <w:rPr>
                <w:szCs w:val="22"/>
              </w:rPr>
            </w:pPr>
            <w:r>
              <w:t>(c)</w:t>
            </w:r>
            <w:r w:rsidRPr="004C063D">
              <w:tab/>
            </w:r>
            <w:r w:rsidR="003A60AE" w:rsidRPr="00DB443A">
              <w:t>posibilitatea ca autoritățile publice să asocieze, pe o bază anonimizată, date din diferite surse, în vederea creării unei imagini complexe a rezultatelor absolvenților.</w:t>
            </w:r>
          </w:p>
        </w:tc>
        <w:tc>
          <w:tcPr>
            <w:tcW w:w="4646" w:type="dxa"/>
          </w:tcPr>
          <w:p w:rsidR="003A60AE" w:rsidRPr="00DB443A" w:rsidRDefault="003A60AE" w:rsidP="006B31BF">
            <w:pPr>
              <w:overflowPunct/>
              <w:adjustRightInd/>
              <w:spacing w:line="281" w:lineRule="auto"/>
              <w:ind w:left="284" w:hanging="284"/>
              <w:textAlignment w:val="auto"/>
              <w:rPr>
                <w:szCs w:val="22"/>
              </w:rPr>
            </w:pPr>
            <w:r w:rsidRPr="00DB443A">
              <w:t>(c)</w:t>
            </w:r>
            <w:r w:rsidR="006B31BF" w:rsidRPr="004C063D">
              <w:tab/>
            </w:r>
            <w:r w:rsidRPr="00DB443A">
              <w:t>posibilitatea ca autoritățile publice să asocieze</w:t>
            </w:r>
            <w:r w:rsidRPr="00DB443A">
              <w:rPr>
                <w:b/>
                <w:i/>
              </w:rPr>
              <w:t>, atât la nivel național, cât și internațional</w:t>
            </w:r>
            <w:r w:rsidRPr="00DB443A">
              <w:t>, pe o bază anonimizată, date din diferite surse, în vederea creării unei imagini complexe a rezultatelor absolvenților.</w:t>
            </w:r>
          </w:p>
        </w:tc>
      </w:tr>
    </w:tbl>
    <w:p w:rsidR="003A60AE" w:rsidRPr="006B31BF" w:rsidRDefault="003A60AE"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3A60AE" w:rsidRPr="00DB443A" w:rsidTr="00221A5D">
        <w:tc>
          <w:tcPr>
            <w:tcW w:w="9289" w:type="dxa"/>
          </w:tcPr>
          <w:p w:rsidR="003A60AE" w:rsidRPr="00DB443A" w:rsidRDefault="003A60AE" w:rsidP="000F0860">
            <w:pPr>
              <w:overflowPunct/>
              <w:adjustRightInd/>
              <w:spacing w:line="281" w:lineRule="auto"/>
              <w:jc w:val="center"/>
              <w:textAlignment w:val="auto"/>
              <w:rPr>
                <w:b/>
                <w:i/>
                <w:szCs w:val="22"/>
              </w:rPr>
            </w:pPr>
            <w:r w:rsidRPr="00DB443A">
              <w:rPr>
                <w:b/>
                <w:i/>
              </w:rPr>
              <w:t>Expunere de motive</w:t>
            </w:r>
          </w:p>
        </w:tc>
      </w:tr>
      <w:tr w:rsidR="003A60AE" w:rsidRPr="00DB443A" w:rsidTr="00221A5D">
        <w:tc>
          <w:tcPr>
            <w:tcW w:w="9289" w:type="dxa"/>
          </w:tcPr>
          <w:p w:rsidR="003A60AE" w:rsidRPr="00DB443A" w:rsidRDefault="003A60AE" w:rsidP="000F0860">
            <w:pPr>
              <w:overflowPunct/>
              <w:adjustRightInd/>
              <w:spacing w:line="281" w:lineRule="auto"/>
              <w:textAlignment w:val="auto"/>
              <w:rPr>
                <w:szCs w:val="22"/>
              </w:rPr>
            </w:pPr>
            <w:r w:rsidRPr="00DB443A">
              <w:t>Având în vedere creșterea mobilității cursanților, construirea unei imagini de ansamblu a rezultatelor absolvenților necesită accesul la date care depășesc cadrul național al unui stat membru.</w:t>
            </w:r>
          </w:p>
        </w:tc>
      </w:tr>
    </w:tbl>
    <w:p w:rsidR="00A731F1" w:rsidRPr="006B31BF" w:rsidRDefault="00A731F1" w:rsidP="000F0860">
      <w:pPr>
        <w:overflowPunct/>
        <w:adjustRightInd/>
        <w:spacing w:line="281" w:lineRule="auto"/>
        <w:textAlignment w:val="auto"/>
        <w:rPr>
          <w:sz w:val="20"/>
        </w:rPr>
      </w:pPr>
    </w:p>
    <w:p w:rsidR="00A93C3E" w:rsidRPr="00DB443A" w:rsidRDefault="00A93C3E" w:rsidP="000F0860">
      <w:pPr>
        <w:overflowPunct/>
        <w:adjustRightInd/>
        <w:spacing w:line="281" w:lineRule="auto"/>
        <w:jc w:val="center"/>
        <w:textAlignment w:val="auto"/>
        <w:rPr>
          <w:b/>
        </w:rPr>
      </w:pPr>
      <w:r w:rsidRPr="00DB443A">
        <w:rPr>
          <w:b/>
        </w:rPr>
        <w:t>Amendamentul 5</w:t>
      </w:r>
    </w:p>
    <w:p w:rsidR="00A93C3E" w:rsidRPr="00DB443A" w:rsidRDefault="00A93C3E" w:rsidP="000F0860">
      <w:pPr>
        <w:overflowPunct/>
        <w:adjustRightInd/>
        <w:spacing w:line="281" w:lineRule="auto"/>
        <w:jc w:val="center"/>
        <w:textAlignment w:val="auto"/>
        <w:rPr>
          <w:b/>
        </w:rPr>
      </w:pPr>
      <w:r w:rsidRPr="00DB443A">
        <w:t>Propunere de recomandare a Consiliului privind monitorizarea parcursului profesional al absolvenților</w:t>
      </w:r>
    </w:p>
    <w:p w:rsidR="00A93C3E" w:rsidRPr="00DB443A" w:rsidRDefault="00A93C3E" w:rsidP="000F0860">
      <w:pPr>
        <w:overflowPunct/>
        <w:adjustRightInd/>
        <w:spacing w:line="281" w:lineRule="auto"/>
        <w:jc w:val="center"/>
        <w:textAlignment w:val="auto"/>
      </w:pPr>
      <w:r w:rsidRPr="00DB443A">
        <w:t>Paragraful 3</w:t>
      </w:r>
    </w:p>
    <w:p w:rsidR="00A93C3E" w:rsidRPr="006B31BF" w:rsidRDefault="00A93C3E"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A93C3E" w:rsidRPr="00DB443A" w:rsidTr="00221A5D">
        <w:tc>
          <w:tcPr>
            <w:tcW w:w="4643" w:type="dxa"/>
          </w:tcPr>
          <w:p w:rsidR="00A93C3E" w:rsidRPr="00DB443A" w:rsidRDefault="00A93C3E" w:rsidP="000F0860">
            <w:pPr>
              <w:overflowPunct/>
              <w:adjustRightInd/>
              <w:spacing w:line="281" w:lineRule="auto"/>
              <w:jc w:val="center"/>
              <w:textAlignment w:val="auto"/>
              <w:rPr>
                <w:szCs w:val="22"/>
              </w:rPr>
            </w:pPr>
            <w:r w:rsidRPr="00DB443A">
              <w:rPr>
                <w:b/>
                <w:i/>
              </w:rPr>
              <w:t>Textul propus de Comisia Europeană</w:t>
            </w:r>
          </w:p>
        </w:tc>
        <w:tc>
          <w:tcPr>
            <w:tcW w:w="4646" w:type="dxa"/>
          </w:tcPr>
          <w:p w:rsidR="00A93C3E" w:rsidRPr="00DB443A" w:rsidRDefault="00A93C3E" w:rsidP="000F0860">
            <w:pPr>
              <w:overflowPunct/>
              <w:adjustRightInd/>
              <w:spacing w:line="281" w:lineRule="auto"/>
              <w:jc w:val="center"/>
              <w:textAlignment w:val="auto"/>
              <w:rPr>
                <w:szCs w:val="22"/>
              </w:rPr>
            </w:pPr>
            <w:r w:rsidRPr="00DB443A">
              <w:rPr>
                <w:b/>
                <w:i/>
              </w:rPr>
              <w:t>Amendamentul CoR</w:t>
            </w:r>
          </w:p>
        </w:tc>
      </w:tr>
      <w:tr w:rsidR="00A93C3E" w:rsidRPr="00DB443A" w:rsidTr="00221A5D">
        <w:tc>
          <w:tcPr>
            <w:tcW w:w="4643" w:type="dxa"/>
          </w:tcPr>
          <w:p w:rsidR="00A93C3E" w:rsidRPr="00DB443A" w:rsidRDefault="00A93C3E" w:rsidP="000F0860">
            <w:pPr>
              <w:overflowPunct/>
              <w:adjustRightInd/>
              <w:spacing w:line="264" w:lineRule="auto"/>
            </w:pPr>
            <w:r w:rsidRPr="00DB443A">
              <w:t>Anchete longitudinale cu privire la absolvenți</w:t>
            </w:r>
          </w:p>
          <w:p w:rsidR="00A93C3E" w:rsidRPr="00DB443A" w:rsidRDefault="006B31BF" w:rsidP="006B31BF">
            <w:pPr>
              <w:overflowPunct/>
              <w:adjustRightInd/>
              <w:spacing w:line="281" w:lineRule="auto"/>
              <w:ind w:left="284" w:hanging="284"/>
              <w:textAlignment w:val="auto"/>
              <w:rPr>
                <w:szCs w:val="22"/>
              </w:rPr>
            </w:pPr>
            <w:r>
              <w:t>3.</w:t>
            </w:r>
            <w:r w:rsidRPr="004C063D">
              <w:tab/>
            </w:r>
            <w:r w:rsidR="00A93C3E" w:rsidRPr="00DB443A">
              <w:t xml:space="preserve">Să asigure o rată ridicată de răspuns, reprezentativă și constantă, la anchetele longitudinale cu privire la absolvenți, inclusiv monitorizarea parcursului profesional al absolvenților care au migrat fie în scopul </w:t>
            </w:r>
            <w:r w:rsidR="00A93C3E" w:rsidRPr="00DB443A">
              <w:lastRenderedPageBreak/>
              <w:t>educației și al formării, fie după finalizarea educației și a formării lor.</w:t>
            </w:r>
          </w:p>
        </w:tc>
        <w:tc>
          <w:tcPr>
            <w:tcW w:w="4646" w:type="dxa"/>
          </w:tcPr>
          <w:p w:rsidR="00A93C3E" w:rsidRPr="00DB443A" w:rsidRDefault="00A93C3E" w:rsidP="000F0860">
            <w:pPr>
              <w:overflowPunct/>
              <w:adjustRightInd/>
              <w:spacing w:line="264" w:lineRule="auto"/>
            </w:pPr>
            <w:r w:rsidRPr="00DB443A">
              <w:lastRenderedPageBreak/>
              <w:t>Anchete longitudinale cu privire la absolvenți</w:t>
            </w:r>
          </w:p>
          <w:p w:rsidR="00A93C3E" w:rsidRPr="00DB443A" w:rsidRDefault="006B31BF" w:rsidP="006B31BF">
            <w:pPr>
              <w:overflowPunct/>
              <w:adjustRightInd/>
              <w:spacing w:line="281" w:lineRule="auto"/>
              <w:ind w:left="284" w:hanging="284"/>
              <w:textAlignment w:val="auto"/>
              <w:rPr>
                <w:szCs w:val="22"/>
              </w:rPr>
            </w:pPr>
            <w:r>
              <w:t>3.</w:t>
            </w:r>
            <w:r w:rsidRPr="004C063D">
              <w:tab/>
            </w:r>
            <w:r w:rsidR="00A93C3E" w:rsidRPr="00DB443A">
              <w:t xml:space="preserve">Să asigure o rată ridicată de răspuns, reprezentativă și constantă, la anchetele longitudinale cu privire la absolvenți, inclusiv monitorizarea parcursului profesional al absolvenților care au migrat fie în scopul </w:t>
            </w:r>
            <w:r w:rsidR="00A93C3E" w:rsidRPr="00DB443A">
              <w:lastRenderedPageBreak/>
              <w:t>educației și al formării, fie după finalizarea educației și a formării lor</w:t>
            </w:r>
            <w:r w:rsidR="00A93C3E" w:rsidRPr="00DB443A">
              <w:rPr>
                <w:b/>
                <w:i/>
              </w:rPr>
              <w:t xml:space="preserve"> și al absolvenților care s-au întors după încheierea unui nivel de studii superioare sau de educație și formare profesională într-un alt stat membru</w:t>
            </w:r>
            <w:r w:rsidR="00A93C3E" w:rsidRPr="00DB443A">
              <w:t>.</w:t>
            </w:r>
          </w:p>
        </w:tc>
      </w:tr>
    </w:tbl>
    <w:p w:rsidR="00A93C3E" w:rsidRPr="006B31BF" w:rsidRDefault="00A93C3E"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A93C3E" w:rsidRPr="00DB443A" w:rsidTr="00221A5D">
        <w:tc>
          <w:tcPr>
            <w:tcW w:w="9289" w:type="dxa"/>
          </w:tcPr>
          <w:p w:rsidR="00A93C3E" w:rsidRPr="00DB443A" w:rsidRDefault="00A93C3E" w:rsidP="000F0860">
            <w:pPr>
              <w:overflowPunct/>
              <w:adjustRightInd/>
              <w:spacing w:line="281" w:lineRule="auto"/>
              <w:jc w:val="center"/>
              <w:textAlignment w:val="auto"/>
              <w:rPr>
                <w:b/>
                <w:i/>
                <w:szCs w:val="22"/>
              </w:rPr>
            </w:pPr>
            <w:r w:rsidRPr="00DB443A">
              <w:rPr>
                <w:b/>
                <w:i/>
              </w:rPr>
              <w:t>Expunere de motive</w:t>
            </w:r>
          </w:p>
        </w:tc>
      </w:tr>
      <w:tr w:rsidR="00A93C3E" w:rsidRPr="00DB443A" w:rsidTr="00221A5D">
        <w:tc>
          <w:tcPr>
            <w:tcW w:w="9289" w:type="dxa"/>
          </w:tcPr>
          <w:p w:rsidR="00A93C3E" w:rsidRPr="00DB443A" w:rsidRDefault="00A93C3E" w:rsidP="000F0860">
            <w:pPr>
              <w:overflowPunct/>
              <w:adjustRightInd/>
              <w:spacing w:line="281" w:lineRule="auto"/>
              <w:textAlignment w:val="auto"/>
              <w:rPr>
                <w:szCs w:val="22"/>
              </w:rPr>
            </w:pPr>
            <w:r w:rsidRPr="00DB443A">
              <w:t>Dat fiind că piața forței de muncă din UE este din ce în ce mai interconectată, și în contextul unei mobilități tot mai mari a cursanților, îmbunătățirea dobândirii de competențe și a capacității de inserție profesională este un obiectiv urmărit de sistemele de învățământ din toate statele membre. În acest sens, monitorizarea absolvenților trebuie să meargă dincolo de frontierele naționale.</w:t>
            </w:r>
          </w:p>
        </w:tc>
      </w:tr>
    </w:tbl>
    <w:p w:rsidR="00A93C3E" w:rsidRPr="006B31BF" w:rsidRDefault="00A93C3E" w:rsidP="000F0860">
      <w:pPr>
        <w:overflowPunct/>
        <w:adjustRightInd/>
        <w:spacing w:line="281" w:lineRule="auto"/>
        <w:textAlignment w:val="auto"/>
        <w:rPr>
          <w:sz w:val="20"/>
        </w:rPr>
      </w:pPr>
    </w:p>
    <w:p w:rsidR="007D134B" w:rsidRPr="00DB443A" w:rsidRDefault="007D134B" w:rsidP="000F0860">
      <w:pPr>
        <w:overflowPunct/>
        <w:adjustRightInd/>
        <w:spacing w:line="281" w:lineRule="auto"/>
        <w:jc w:val="center"/>
        <w:textAlignment w:val="auto"/>
        <w:rPr>
          <w:b/>
        </w:rPr>
      </w:pPr>
      <w:r w:rsidRPr="00DB443A">
        <w:rPr>
          <w:b/>
        </w:rPr>
        <w:t>Amendamentul 6</w:t>
      </w:r>
    </w:p>
    <w:p w:rsidR="00DF15C6" w:rsidRPr="00DB443A" w:rsidRDefault="00DF15C6" w:rsidP="000F0860">
      <w:pPr>
        <w:overflowPunct/>
        <w:adjustRightInd/>
        <w:spacing w:line="281" w:lineRule="auto"/>
        <w:jc w:val="center"/>
        <w:textAlignment w:val="auto"/>
        <w:rPr>
          <w:b/>
        </w:rPr>
      </w:pPr>
      <w:r w:rsidRPr="00DB443A">
        <w:t>Propunere de recomandare a Consiliului privind monitorizarea parcursului profesional al absolvenților</w:t>
      </w:r>
    </w:p>
    <w:p w:rsidR="007D134B" w:rsidRPr="00DB443A" w:rsidRDefault="007D134B" w:rsidP="000F0860">
      <w:pPr>
        <w:overflowPunct/>
        <w:adjustRightInd/>
        <w:spacing w:line="281" w:lineRule="auto"/>
        <w:jc w:val="center"/>
        <w:textAlignment w:val="auto"/>
      </w:pPr>
      <w:r w:rsidRPr="00DB443A">
        <w:t>Paragraful 5</w:t>
      </w:r>
    </w:p>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DB443A" w:rsidTr="00082865">
        <w:tc>
          <w:tcPr>
            <w:tcW w:w="4643" w:type="dxa"/>
          </w:tcPr>
          <w:p w:rsidR="007D134B" w:rsidRPr="00DB443A" w:rsidRDefault="007D134B" w:rsidP="000F0860">
            <w:pPr>
              <w:overflowPunct/>
              <w:adjustRightInd/>
              <w:spacing w:line="281" w:lineRule="auto"/>
              <w:jc w:val="center"/>
              <w:textAlignment w:val="auto"/>
              <w:rPr>
                <w:szCs w:val="22"/>
              </w:rPr>
            </w:pPr>
            <w:r w:rsidRPr="00DB443A">
              <w:rPr>
                <w:b/>
                <w:i/>
              </w:rPr>
              <w:t>Textul propus de Comisia Europeană</w:t>
            </w:r>
          </w:p>
        </w:tc>
        <w:tc>
          <w:tcPr>
            <w:tcW w:w="4646" w:type="dxa"/>
          </w:tcPr>
          <w:p w:rsidR="007D134B" w:rsidRPr="00DB443A" w:rsidRDefault="007D134B" w:rsidP="000F0860">
            <w:pPr>
              <w:overflowPunct/>
              <w:adjustRightInd/>
              <w:spacing w:line="281" w:lineRule="auto"/>
              <w:jc w:val="center"/>
              <w:textAlignment w:val="auto"/>
              <w:rPr>
                <w:szCs w:val="22"/>
              </w:rPr>
            </w:pPr>
            <w:r w:rsidRPr="00DB443A">
              <w:rPr>
                <w:b/>
                <w:i/>
              </w:rPr>
              <w:t>Amendamentul CoR</w:t>
            </w:r>
          </w:p>
        </w:tc>
      </w:tr>
      <w:tr w:rsidR="007D134B" w:rsidRPr="00DB443A" w:rsidTr="00082865">
        <w:tc>
          <w:tcPr>
            <w:tcW w:w="4643" w:type="dxa"/>
          </w:tcPr>
          <w:p w:rsidR="007D134B" w:rsidRPr="00DB443A" w:rsidRDefault="006B31BF" w:rsidP="006B31BF">
            <w:pPr>
              <w:overflowPunct/>
              <w:adjustRightInd/>
              <w:spacing w:line="281" w:lineRule="auto"/>
              <w:ind w:left="284" w:hanging="284"/>
              <w:textAlignment w:val="auto"/>
              <w:rPr>
                <w:szCs w:val="22"/>
              </w:rPr>
            </w:pPr>
            <w:r>
              <w:t>e)</w:t>
            </w:r>
            <w:r w:rsidRPr="004C063D">
              <w:tab/>
            </w:r>
            <w:r w:rsidR="007D134B" w:rsidRPr="00DB443A">
              <w:t>contribuția la elaborarea de politici atât la nivel național, cât și la nivelul Uniunii.</w:t>
            </w:r>
          </w:p>
        </w:tc>
        <w:tc>
          <w:tcPr>
            <w:tcW w:w="4646" w:type="dxa"/>
          </w:tcPr>
          <w:p w:rsidR="007D134B" w:rsidRPr="00DB443A" w:rsidRDefault="006B31BF" w:rsidP="006B31BF">
            <w:pPr>
              <w:overflowPunct/>
              <w:adjustRightInd/>
              <w:spacing w:line="281" w:lineRule="auto"/>
              <w:ind w:left="284" w:hanging="284"/>
              <w:textAlignment w:val="auto"/>
              <w:rPr>
                <w:szCs w:val="22"/>
              </w:rPr>
            </w:pPr>
            <w:r>
              <w:t>e)</w:t>
            </w:r>
            <w:r w:rsidRPr="004C063D">
              <w:tab/>
            </w:r>
            <w:r w:rsidR="007D134B" w:rsidRPr="00DB443A">
              <w:t xml:space="preserve">contribuția la elaborarea de politici atât la nivel național, </w:t>
            </w:r>
            <w:r w:rsidR="007D134B" w:rsidRPr="00DB443A">
              <w:rPr>
                <w:b/>
                <w:i/>
              </w:rPr>
              <w:t>regional și local,</w:t>
            </w:r>
            <w:r w:rsidR="007D134B" w:rsidRPr="00DB443A">
              <w:t xml:space="preserve"> cât și la nivelul Uniunii.</w:t>
            </w:r>
          </w:p>
        </w:tc>
      </w:tr>
    </w:tbl>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DB443A" w:rsidTr="00082865">
        <w:tc>
          <w:tcPr>
            <w:tcW w:w="9289" w:type="dxa"/>
          </w:tcPr>
          <w:p w:rsidR="007D134B" w:rsidRPr="00DB443A" w:rsidRDefault="007D134B" w:rsidP="000F0860">
            <w:pPr>
              <w:overflowPunct/>
              <w:adjustRightInd/>
              <w:spacing w:line="281" w:lineRule="auto"/>
              <w:jc w:val="center"/>
              <w:textAlignment w:val="auto"/>
              <w:rPr>
                <w:b/>
                <w:i/>
                <w:szCs w:val="22"/>
              </w:rPr>
            </w:pPr>
            <w:r w:rsidRPr="00DB443A">
              <w:rPr>
                <w:b/>
                <w:i/>
              </w:rPr>
              <w:t>Expunere de motive</w:t>
            </w:r>
          </w:p>
        </w:tc>
      </w:tr>
      <w:tr w:rsidR="007D134B" w:rsidRPr="00DB443A" w:rsidTr="00082865">
        <w:tc>
          <w:tcPr>
            <w:tcW w:w="9289" w:type="dxa"/>
          </w:tcPr>
          <w:p w:rsidR="007D134B" w:rsidRPr="00DB443A" w:rsidRDefault="007D134B" w:rsidP="000F0860">
            <w:pPr>
              <w:overflowPunct/>
              <w:adjustRightInd/>
              <w:spacing w:line="281" w:lineRule="auto"/>
              <w:textAlignment w:val="auto"/>
              <w:rPr>
                <w:szCs w:val="22"/>
              </w:rPr>
            </w:pPr>
            <w:r w:rsidRPr="00DB443A">
              <w:t>Autoritățile locale și regionale sunt actori importanți în domeniul educației, precum și în cadrul intervențiilor pe piața forței de muncă.</w:t>
            </w:r>
          </w:p>
        </w:tc>
      </w:tr>
    </w:tbl>
    <w:p w:rsidR="007D134B" w:rsidRPr="006B31BF" w:rsidRDefault="007D134B" w:rsidP="000F0860">
      <w:pPr>
        <w:overflowPunct/>
        <w:adjustRightInd/>
        <w:spacing w:line="281" w:lineRule="auto"/>
        <w:textAlignment w:val="auto"/>
        <w:rPr>
          <w:sz w:val="20"/>
        </w:rPr>
      </w:pPr>
    </w:p>
    <w:p w:rsidR="007D134B" w:rsidRPr="00DB443A" w:rsidRDefault="007D134B" w:rsidP="000F0860">
      <w:pPr>
        <w:overflowPunct/>
        <w:adjustRightInd/>
        <w:spacing w:line="281" w:lineRule="auto"/>
        <w:jc w:val="center"/>
        <w:textAlignment w:val="auto"/>
        <w:rPr>
          <w:b/>
        </w:rPr>
      </w:pPr>
      <w:r w:rsidRPr="00DB443A">
        <w:rPr>
          <w:b/>
        </w:rPr>
        <w:t>Amendamentul 7</w:t>
      </w:r>
    </w:p>
    <w:p w:rsidR="00DF15C6" w:rsidRPr="00DB443A" w:rsidRDefault="00DF15C6" w:rsidP="000F0860">
      <w:pPr>
        <w:overflowPunct/>
        <w:adjustRightInd/>
        <w:spacing w:line="281" w:lineRule="auto"/>
        <w:jc w:val="center"/>
        <w:textAlignment w:val="auto"/>
        <w:rPr>
          <w:b/>
        </w:rPr>
      </w:pPr>
      <w:r w:rsidRPr="00DB443A">
        <w:t>Propunere de recomandare a Consiliului privind monitorizarea parcursului profesional al absolvenților</w:t>
      </w:r>
    </w:p>
    <w:p w:rsidR="007D134B" w:rsidRPr="00DB443A" w:rsidRDefault="007D134B" w:rsidP="000F0860">
      <w:pPr>
        <w:overflowPunct/>
        <w:adjustRightInd/>
        <w:spacing w:line="281" w:lineRule="auto"/>
        <w:jc w:val="center"/>
        <w:textAlignment w:val="auto"/>
      </w:pPr>
      <w:r w:rsidRPr="00DB443A">
        <w:t>Paragraful 11</w:t>
      </w:r>
    </w:p>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DB443A" w:rsidTr="00082865">
        <w:tc>
          <w:tcPr>
            <w:tcW w:w="4643" w:type="dxa"/>
          </w:tcPr>
          <w:p w:rsidR="007D134B" w:rsidRPr="00DB443A" w:rsidRDefault="007D134B" w:rsidP="000F0860">
            <w:pPr>
              <w:overflowPunct/>
              <w:adjustRightInd/>
              <w:spacing w:line="281" w:lineRule="auto"/>
              <w:jc w:val="center"/>
              <w:textAlignment w:val="auto"/>
              <w:rPr>
                <w:szCs w:val="22"/>
              </w:rPr>
            </w:pPr>
            <w:r w:rsidRPr="00DB443A">
              <w:rPr>
                <w:b/>
                <w:i/>
              </w:rPr>
              <w:t>Textul propus de Comisia Europeană</w:t>
            </w:r>
          </w:p>
        </w:tc>
        <w:tc>
          <w:tcPr>
            <w:tcW w:w="4646" w:type="dxa"/>
          </w:tcPr>
          <w:p w:rsidR="007D134B" w:rsidRPr="00DB443A" w:rsidRDefault="007D134B" w:rsidP="000F0860">
            <w:pPr>
              <w:overflowPunct/>
              <w:adjustRightInd/>
              <w:spacing w:line="281" w:lineRule="auto"/>
              <w:jc w:val="center"/>
              <w:textAlignment w:val="auto"/>
              <w:rPr>
                <w:szCs w:val="22"/>
              </w:rPr>
            </w:pPr>
            <w:r w:rsidRPr="00DB443A">
              <w:rPr>
                <w:b/>
                <w:i/>
              </w:rPr>
              <w:t>Amendamentul CoR</w:t>
            </w:r>
          </w:p>
        </w:tc>
      </w:tr>
      <w:tr w:rsidR="007D134B" w:rsidRPr="00DB443A" w:rsidTr="00082865">
        <w:tc>
          <w:tcPr>
            <w:tcW w:w="4643" w:type="dxa"/>
          </w:tcPr>
          <w:p w:rsidR="007D134B" w:rsidRPr="00DB443A" w:rsidRDefault="007D134B" w:rsidP="000F0860">
            <w:pPr>
              <w:overflowPunct/>
              <w:adjustRightInd/>
              <w:spacing w:line="281" w:lineRule="auto"/>
              <w:textAlignment w:val="auto"/>
              <w:rPr>
                <w:szCs w:val="22"/>
              </w:rPr>
            </w:pPr>
            <w:r w:rsidRPr="00DB443A">
              <w:t>Să se asigure că datele colectate și analizele aferente sunt puse la dispoziție pentru a fi utilizate de statele membre și de părțile interesate, inclusiv prin intermediul instrumentelor online existente ale UE.</w:t>
            </w:r>
          </w:p>
        </w:tc>
        <w:tc>
          <w:tcPr>
            <w:tcW w:w="4646" w:type="dxa"/>
          </w:tcPr>
          <w:p w:rsidR="007D134B" w:rsidRPr="00DB443A" w:rsidRDefault="007D134B" w:rsidP="000F0860">
            <w:pPr>
              <w:overflowPunct/>
              <w:adjustRightInd/>
              <w:spacing w:line="281" w:lineRule="auto"/>
              <w:textAlignment w:val="auto"/>
              <w:rPr>
                <w:szCs w:val="22"/>
              </w:rPr>
            </w:pPr>
            <w:r w:rsidRPr="00DB443A">
              <w:t>să se asigure că datele colectate și analizele aferente sunt puse la dispoziție pentru a fi utilizate de statele membre</w:t>
            </w:r>
            <w:r w:rsidRPr="00DB443A">
              <w:rPr>
                <w:b/>
                <w:i/>
              </w:rPr>
              <w:t xml:space="preserve">, de autoritățile regionale și locale, precum </w:t>
            </w:r>
            <w:r w:rsidRPr="00DB443A">
              <w:t>și de părțile interesate</w:t>
            </w:r>
            <w:r w:rsidRPr="00DB443A">
              <w:rPr>
                <w:b/>
                <w:i/>
              </w:rPr>
              <w:t>, atunci când protecția datelor cu caracter personal este garantată</w:t>
            </w:r>
            <w:r w:rsidRPr="00DB443A">
              <w:t xml:space="preserve"> </w:t>
            </w:r>
            <w:r w:rsidRPr="00DB443A">
              <w:rPr>
                <w:b/>
                <w:i/>
              </w:rPr>
              <w:t>și când interesul public sau scopurile de cercetare sau de planificare strategică justifică necesitatea furnizării unui astfel de acces</w:t>
            </w:r>
            <w:r w:rsidRPr="00DB443A">
              <w:t>, inclusiv prin intermediul instrumentelor online existente ale UE;</w:t>
            </w:r>
          </w:p>
        </w:tc>
      </w:tr>
    </w:tbl>
    <w:p w:rsidR="007D134B" w:rsidRPr="006B31BF" w:rsidRDefault="007D134B" w:rsidP="000F0860">
      <w:pPr>
        <w:overflowPunct/>
        <w:adjustRightInd/>
        <w:spacing w:line="281" w:lineRule="auto"/>
        <w:textAlignment w:val="auto"/>
        <w:rPr>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DB443A" w:rsidTr="00082865">
        <w:tc>
          <w:tcPr>
            <w:tcW w:w="9289" w:type="dxa"/>
          </w:tcPr>
          <w:p w:rsidR="007D134B" w:rsidRPr="00DB443A" w:rsidRDefault="007D134B" w:rsidP="000F0860">
            <w:pPr>
              <w:overflowPunct/>
              <w:adjustRightInd/>
              <w:spacing w:line="281" w:lineRule="auto"/>
              <w:jc w:val="center"/>
              <w:textAlignment w:val="auto"/>
              <w:rPr>
                <w:b/>
                <w:i/>
                <w:szCs w:val="22"/>
              </w:rPr>
            </w:pPr>
            <w:r w:rsidRPr="00DB443A">
              <w:rPr>
                <w:b/>
                <w:i/>
              </w:rPr>
              <w:t>Expunere de motive</w:t>
            </w:r>
          </w:p>
        </w:tc>
      </w:tr>
      <w:tr w:rsidR="007D134B" w:rsidRPr="00DB443A" w:rsidTr="00082865">
        <w:tc>
          <w:tcPr>
            <w:tcW w:w="9289" w:type="dxa"/>
          </w:tcPr>
          <w:p w:rsidR="007D134B" w:rsidRPr="00DB443A" w:rsidRDefault="007D134B" w:rsidP="000F0860">
            <w:pPr>
              <w:overflowPunct/>
              <w:adjustRightInd/>
              <w:spacing w:line="281" w:lineRule="auto"/>
              <w:textAlignment w:val="auto"/>
              <w:rPr>
                <w:szCs w:val="22"/>
              </w:rPr>
            </w:pPr>
            <w:r w:rsidRPr="00DB443A">
              <w:t>Deși este de la sine înțeles că un astfel de acces trebuie să fie garantat pentru autoritățile regionale și locale, el ar trebui să fie limitat pentru părțile interesate, în funcție de scopul utilizării.</w:t>
            </w:r>
          </w:p>
        </w:tc>
      </w:tr>
    </w:tbl>
    <w:p w:rsidR="007D134B" w:rsidRPr="006B31BF" w:rsidRDefault="007D134B" w:rsidP="000F0860">
      <w:pPr>
        <w:overflowPunct/>
        <w:adjustRightInd/>
        <w:spacing w:line="281" w:lineRule="auto"/>
        <w:textAlignment w:val="auto"/>
        <w:rPr>
          <w:sz w:val="20"/>
        </w:rPr>
      </w:pPr>
    </w:p>
    <w:p w:rsidR="007D134B" w:rsidRPr="00DB443A" w:rsidRDefault="000F0860" w:rsidP="000F0860">
      <w:pPr>
        <w:pStyle w:val="ListParagraph"/>
        <w:keepNext/>
        <w:keepLines/>
        <w:numPr>
          <w:ilvl w:val="0"/>
          <w:numId w:val="15"/>
        </w:numPr>
        <w:overflowPunct/>
        <w:adjustRightInd/>
        <w:spacing w:line="281" w:lineRule="auto"/>
        <w:ind w:left="567" w:hanging="567"/>
        <w:textAlignment w:val="auto"/>
        <w:rPr>
          <w:b/>
        </w:rPr>
      </w:pPr>
      <w:r w:rsidRPr="00DB443A">
        <w:rPr>
          <w:b/>
        </w:rPr>
        <w:lastRenderedPageBreak/>
        <w:t>RECOMANDĂRI POLITICE</w:t>
      </w:r>
    </w:p>
    <w:p w:rsidR="007D134B" w:rsidRPr="00DB443A" w:rsidRDefault="007D134B" w:rsidP="006B31BF"/>
    <w:p w:rsidR="007D134B" w:rsidRPr="00DB443A" w:rsidRDefault="007D134B" w:rsidP="006B31BF">
      <w:r w:rsidRPr="00DB443A">
        <w:t>COMITETUL EUROPEAN AL REGIUNILOR</w:t>
      </w:r>
    </w:p>
    <w:p w:rsidR="00A731F1" w:rsidRPr="00DB443A" w:rsidRDefault="00A731F1" w:rsidP="006B31BF"/>
    <w:p w:rsidR="007D134B" w:rsidRPr="00DB443A" w:rsidRDefault="0080163E" w:rsidP="000F0860">
      <w:pPr>
        <w:pStyle w:val="Heading1"/>
        <w:overflowPunct/>
        <w:adjustRightInd/>
        <w:spacing w:line="281" w:lineRule="auto"/>
        <w:ind w:left="567" w:hanging="567"/>
        <w:textAlignment w:val="auto"/>
      </w:pPr>
      <w:r w:rsidRPr="00DB443A">
        <w:t>consideră că propunerea Comisiei de recomandare a Consiliului este un prim pas binevenit, însă timid, în direcția cooperării europene, ținând seama de faptul că disponibilitatea unor informații comparabile privind ocuparea forței de muncă și/sau șomajul în rândul absolvenților din UE este esențială pentru a putea aborda, printre altele, exodul creierelor, atât în interiorul regiunilor europene, cât și între ele. Disponibilitatea unor astfel de informații ar permite, de asemenea, Comisiei, să-și formuleze recomandările politice în mod uniform, ca parte a unei abordări globale;</w:t>
      </w:r>
    </w:p>
    <w:p w:rsidR="009C26AD" w:rsidRPr="00DB443A" w:rsidRDefault="009C26AD"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salută faptul că Comisia continuă să acorde o atenție deosebită aspectelor legate de dezvoltare în domeniul educației. Educația constituie, într-adevăr, o realizare istorică a Europei, fiind unul dintre principalele motoare ale competitivității statelor membre și regiunilor, ale egalității de șanse între persoane, ale mobilității sociale și ale cetățeniei europene;</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se oferă să sprijine Comisia Europeană în cadrul procesului de consolidare a compatibilității, a interoperabilității și a dezvoltării diferitelor sisteme europene de educație, de formare profesională și de învățământ superior;</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constată cu satisfacție că, în comunicarea sa, Comisia Europeană precizează că faptul de a oferi tuturor tinerilor, în mod concret, posibilitatea de a dobândi întreaga gamă a competențelor-cheie ar constitui un pas important către egalitatea de șanse pentru cetățenii UE, reluând astfel o propunere formulată pentru prima oară în Avizul Comitetului Regiunilor privind cooperarea europeană în domeniul tineretului (2010-2018);</w:t>
      </w:r>
    </w:p>
    <w:p w:rsidR="00497B52" w:rsidRPr="00DB443A" w:rsidRDefault="00497B52" w:rsidP="000F0860">
      <w:pPr>
        <w:overflowPunct/>
        <w:adjustRightInd/>
        <w:spacing w:line="281" w:lineRule="auto"/>
        <w:textAlignment w:val="auto"/>
      </w:pPr>
    </w:p>
    <w:p w:rsidR="00497B52" w:rsidRPr="00DB443A" w:rsidRDefault="00497B52" w:rsidP="000F0860">
      <w:pPr>
        <w:pStyle w:val="Heading1"/>
        <w:overflowPunct/>
        <w:adjustRightInd/>
        <w:spacing w:line="281" w:lineRule="auto"/>
        <w:ind w:left="567" w:hanging="567"/>
        <w:textAlignment w:val="auto"/>
      </w:pPr>
      <w:r w:rsidRPr="00DB443A">
        <w:t>subliniază că accesul la oportunitățile educaționale nu trebuie să fie determinat de venitul familiei și că egalitatea trebuie să fie plasată în centrul sistemelor europene de învățământ preuniversitar și superior, permițând tuturor cetățenilor UE să își valorifice potențialul;</w:t>
      </w:r>
    </w:p>
    <w:p w:rsidR="00497B52" w:rsidRPr="00DB443A" w:rsidRDefault="00497B52" w:rsidP="00116330"/>
    <w:p w:rsidR="007D134B" w:rsidRPr="00DB443A" w:rsidRDefault="007D134B" w:rsidP="000F0860">
      <w:pPr>
        <w:pStyle w:val="Heading1"/>
        <w:overflowPunct/>
        <w:adjustRightInd/>
        <w:spacing w:line="281" w:lineRule="auto"/>
        <w:ind w:left="567" w:hanging="567"/>
        <w:textAlignment w:val="auto"/>
      </w:pPr>
      <w:r w:rsidRPr="00DB443A">
        <w:t>observă că ideea de „universitate în serviciul cetățenilor” nu va putea deveni realitate decât dacă Uniunea și statele membre consultă în mod real și adecvat autoritățile locale și regionale atunci când elaborează politici în materie de învățământ superior; invită Comisia Europeană să insufle un nou elan procesului de la Bologna și să ia măsurile care se impun în anumite domenii, mai ales în materie de recunoaștere și echivalență rapidă, sau chiar automată, a diplomelor și a calificărilor profesionale, inclusiv pentru titlul de doctor și pentru celelalte titluri academice;</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atrage atenția asupra faptului că, în ceea ce privește modernizarea educației și a învățământului superior, nu este suficient să se discute despre obiective, dat fiind că planificarea fondurilor UE pentru următoarea perioadă de programare este în curs de desfășurare; subliniază totodată, în această privință, necesitatea de a se prevedea un sprijin specific după 2020 pentru proiectele și operațiunile care vizează dezvoltarea programelor de formare și a infrastructurilor destinate educației și învățământului superior în regiunile mai puțin dezvoltate;</w:t>
      </w:r>
    </w:p>
    <w:p w:rsidR="00336D5E" w:rsidRPr="00DB443A" w:rsidRDefault="00336D5E" w:rsidP="000F0860">
      <w:pPr>
        <w:overflowPunct/>
        <w:adjustRightInd/>
        <w:spacing w:line="281" w:lineRule="auto"/>
        <w:textAlignment w:val="auto"/>
      </w:pPr>
    </w:p>
    <w:p w:rsidR="00116330" w:rsidRDefault="00116330">
      <w:pPr>
        <w:overflowPunct/>
        <w:autoSpaceDE/>
        <w:autoSpaceDN/>
        <w:adjustRightInd/>
        <w:spacing w:line="240" w:lineRule="auto"/>
        <w:jc w:val="left"/>
        <w:textAlignment w:val="auto"/>
        <w:rPr>
          <w:kern w:val="28"/>
        </w:rPr>
      </w:pPr>
      <w:r>
        <w:br w:type="page"/>
      </w:r>
    </w:p>
    <w:p w:rsidR="007D134B" w:rsidRPr="00DB443A" w:rsidRDefault="007D134B" w:rsidP="000F0860">
      <w:pPr>
        <w:pStyle w:val="Heading1"/>
        <w:overflowPunct/>
        <w:adjustRightInd/>
        <w:spacing w:line="281" w:lineRule="auto"/>
        <w:ind w:left="567" w:hanging="567"/>
        <w:textAlignment w:val="auto"/>
      </w:pPr>
      <w:r w:rsidRPr="00DB443A">
        <w:lastRenderedPageBreak/>
        <w:t>subliniază că egalitatea de șanse în ce privește accesul la învățământul superior, inclusiv pentru elevii care provin din regiuni defavorizate sau periferice sau din comunitățile minoritare, poate fi mai bine protejată atunci când învățământul public la care acești elevi au acces este eficient, eficace și favorabil incluziunii;</w:t>
      </w:r>
    </w:p>
    <w:p w:rsidR="00EF33A5" w:rsidRPr="00DB443A" w:rsidRDefault="00EF33A5" w:rsidP="000F0860">
      <w:pPr>
        <w:overflowPunct/>
        <w:adjustRightInd/>
        <w:spacing w:line="281" w:lineRule="auto"/>
        <w:textAlignment w:val="auto"/>
      </w:pPr>
    </w:p>
    <w:p w:rsidR="00EF33A5" w:rsidRPr="00DB443A" w:rsidRDefault="00EF33A5" w:rsidP="000F0860">
      <w:pPr>
        <w:pStyle w:val="Heading1"/>
        <w:overflowPunct/>
        <w:adjustRightInd/>
        <w:spacing w:line="281" w:lineRule="auto"/>
        <w:ind w:left="567" w:hanging="567"/>
        <w:textAlignment w:val="auto"/>
      </w:pPr>
      <w:r w:rsidRPr="00DB443A">
        <w:t>subliniază că posibilitatea de a călători și de a participa l</w:t>
      </w:r>
      <w:r w:rsidR="00116330">
        <w:t>a schimburi culturale în UE (de </w:t>
      </w:r>
      <w:r w:rsidRPr="00DB443A">
        <w:t>exemplu, prin intermediul programului Erasmus) poate îmbogăți experiența educațională a studenților și contribui la consolidarea sentimentului de cetățenie europeană;</w:t>
      </w:r>
    </w:p>
    <w:p w:rsidR="00EF33A5" w:rsidRPr="00DB443A" w:rsidRDefault="00EF33A5" w:rsidP="00116330"/>
    <w:p w:rsidR="007D134B" w:rsidRPr="00DB443A" w:rsidRDefault="007D134B" w:rsidP="000F0860">
      <w:pPr>
        <w:pStyle w:val="Heading1"/>
        <w:overflowPunct/>
        <w:adjustRightInd/>
        <w:spacing w:line="281" w:lineRule="auto"/>
        <w:ind w:left="567" w:hanging="567"/>
        <w:textAlignment w:val="auto"/>
      </w:pPr>
      <w:r w:rsidRPr="00DB443A">
        <w:t>consideră că ar fi util să se promoveze difuzarea sistemelor de formare profesională complementară și a altor programe ajutătoare care facilitează trecerea de la un anumit nivel de studii la un nivel superior, prin sprijinirea corespunzătoare a schimbului de bune practici în acest domeniu;</w:t>
      </w:r>
    </w:p>
    <w:p w:rsidR="00522C8E" w:rsidRPr="00DB443A" w:rsidRDefault="00522C8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sugerează să se reevalueze propunerea conform căreia finanțarea instituțiilor de învățământ superior ar trebui să fie axată într-o măsură mai mare pe rezultate, astfel încât să se țină seama în mod corespunzător de provocările specifice cu care se confruntă universitățile de tip regional sau local, și mai ales instituțiile de învățământ superior destinate minorităților, care sunt frecventate de un număr mai mic de studenți; dispariția acestor filiere ar genera un prejudiciu cultural, comunitar și economic considerabil;</w:t>
      </w:r>
    </w:p>
    <w:p w:rsidR="00C502F3" w:rsidRPr="00DB443A" w:rsidRDefault="00C502F3"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atrage atenția asupra faptului că sunt necesare măsuri suplimentare în domeniul internaționalizării învățământului superior, în special în ceea ce privește programele de schimb şi diplomele comune la nivel european și internațional, precum și extinderea programului Erasmus la țările în curs de aderare, cu respectarea cerinţelor în materie de calitate;</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ia act de faptul că, în prezent, fondurile disponibile pentru internaționalizarea sistemelor de educație și de formare profesională situate în amonte față de învățământul superior sunt insuficiente și, prin urmare, consideră că este necesară mobilizarea sistematică în acest scop a unor noi resurse de la nivel european și național, dar și de la cel regional și local;</w:t>
      </w:r>
    </w:p>
    <w:p w:rsidR="008D3320" w:rsidRPr="00DB443A" w:rsidRDefault="008D3320"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dat fiind faptul că, în sistemul actual de învățământ superior și de formare profesională, pregătirea, calificările și competențele absolvenților se dovedesc adesea slab corelate cu necesitățile pieței muncii și cu condițiile necesare pentru o bună capacitate de inserție profesională, recomandă să se încerce să se introducă în învățământul superior tipuri de formare profesională axate pe necesitățile existente, oferind, de exemplu, posibilitatea ca un student să fie liber să aleagă materii de studiu predate în mai multe universități, cu implicarea si consultarea tuturor părţilor interesate, inclusiv a angajatorilor de pe plan local. După finalizarea acestor cursuri de formare, studenţilor respectivi li se pot acorda creditele echivalente cu cele obținute prin frecventarea formelor obișnuite de învățământ superior;</w:t>
      </w:r>
    </w:p>
    <w:p w:rsidR="00EF7D6A" w:rsidRPr="00DB443A" w:rsidRDefault="00EF7D6A"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 xml:space="preserve">consideră că există o necesitate reală de a dezvolta cursurile de formare profesională de scurtă durată, pentru ca sistemul de învățământ superior să devină mai flexibil, precum și pentru o eventuală echivalare cu studiile superioare a formării interne și a formării continue asigurate de organizațiile și de camerele profesionale, luându-se măsurile necesare pentru a garanta, după caz, că finalizarea cu succes a unor astfel de cursuri este recunoscută, cel puțin parțial, în </w:t>
      </w:r>
      <w:r w:rsidRPr="00DB443A">
        <w:lastRenderedPageBreak/>
        <w:t>conformitate cu cerințele de calitate corespunzătoare, ca echivalentă cu studiul uneia sau mai multor materii din cadrul studiilor universitare;</w:t>
      </w:r>
    </w:p>
    <w:p w:rsidR="00042DCB" w:rsidRPr="00DB443A" w:rsidRDefault="00042DCB" w:rsidP="000F0860">
      <w:pPr>
        <w:overflowPunct/>
        <w:adjustRightInd/>
        <w:textAlignment w:val="auto"/>
      </w:pPr>
    </w:p>
    <w:p w:rsidR="007D134B" w:rsidRPr="00DB443A" w:rsidRDefault="007D134B" w:rsidP="000F0860">
      <w:pPr>
        <w:pStyle w:val="Heading1"/>
        <w:overflowPunct/>
        <w:adjustRightInd/>
        <w:spacing w:line="281" w:lineRule="auto"/>
        <w:ind w:left="567" w:hanging="567"/>
        <w:textAlignment w:val="auto"/>
      </w:pPr>
      <w:r w:rsidRPr="00DB443A">
        <w:t>este de părere că, pe lângă respectarea autonomiei universităților, trebuie să se garanteze și punerea la dispoziția publicului a unor cursuri universitare ex-catedra, inclusiv online, în conformitate cu ideea de „</w:t>
      </w:r>
      <w:proofErr w:type="spellStart"/>
      <w:r w:rsidRPr="00DB443A">
        <w:t>universitas</w:t>
      </w:r>
      <w:proofErr w:type="spellEnd"/>
      <w:r w:rsidRPr="00DB443A">
        <w:t>”;</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constată cu îngrijorare că, deși în universitățile europene se întreprind în prezent cercetări importante, finanțate cu ajutorul programului-cadru Orizont 2020 sau din fonduri publice naționale, rezultatele acestor cercetări sunt rareori accesibile în mod gratuit, cel puțin nu pentru specialiști, pentru profesorii care nu predau în învățământul superior sau pentru alte persoane potențial interesate, ceea ce reduce semnificativ impactul sistemului european de cercetare și dezvoltare, limitând totodată accesul cadrelor didactice și al cursanților care nu au suficiente resurse la cele mai recente rezultate din domeniul cercetării;</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recunoaște că pregătirea pedagogică, psihologică și metodologică a cadrelor didactice și a formatorilor, precum și a personalului didactic din învățământul superior reprezintă o condiție esențială pentru succesul educației viitoare și consideră, prin urmare, că în acest domeniu, caracterizat de o dezvoltare dinamică, este deosebit de necesar să se facă schimb de bune practici și să se sprijine proiectele de inovare comune, inclusiv inițiativele care vizează programele de formare profesională și de studii ale personalului însărcinat cu formarea și formarea continuă a cadrelor didactice și a formatorilor;</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este îngrijorat de posibilitatea ca Brexitul să aducă atingere drepturilor absolvenților, elevilor și studenților care urmează cursuri de formare în Regatul Unit; subliniază că acest risc nu decurge numai din probabilitatea introducerii unor modificări în acest sens în politica Regatului Unit privind educația, ci și din incertitudinile referitoare la recunoașterea și echivalarea cursurilor, calificărilor și diplomelor lor respective în statele membre, risc care vizează toate țările UE și prin urmare, ar putea justifica o acțiune comună la nivelul Uniunii;</w:t>
      </w:r>
    </w:p>
    <w:p w:rsidR="00370351" w:rsidRPr="00DB443A" w:rsidRDefault="00370351"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invită Comisia, în contextul ieșirii Regatului Unit din UE și cu respectarea principiului reciprocității, să depună eforturi pentru a reduce la minimum daunele colaterale care decurg din retragerea Regatului Unit – cum ar fi posibila reducere a cooperării permanente și excelente care există în prezent cu instituțiile de învățământ superior și centrele de cercetare și dezvoltare cu sediul în Regatul Unit – chiar dacă acest lucru ar genera o sarcină bugetară rezonabilă;</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atrage atenția asupra faptului că unele regiuni mai puțin dezvoltate riscă să fie antrenate într-o spirală demografică și educațională negativă, întrucât aceste două procese se intensifică reciproc – fenomen care ar putea contribui la o și mai mare deteriorare a competitivității lor și ar putea fi însoțit de o degradare marcată a sistemelor lor educaționale; prin urmare, solicită elaborarea unor soluții strategice, capabile să sprijine îmbunătățirea mobilității elevilor și studenților, dar și facilitarea eventualei lor reveniri în regiunile din care provin;</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 xml:space="preserve">consideră că este momentul să se realizeze investiții substanțiale în infrastructura educațională, atât în regiunile mai avansate, cât și în regiunile mai puțin dezvoltate, având grijă ca investițiile coordonate să fie în permanență adaptate la specificitățile teritoriului respectiv. În acest sens, ar trebui să se în considerare în mod deosebit creșterea sprijinului acordat de Banca Europeană de </w:t>
      </w:r>
      <w:r w:rsidRPr="00DB443A">
        <w:lastRenderedPageBreak/>
        <w:t>Investiții și de fondurile europene de dezvoltare regională inițiativelor regionale care vizează dezvoltarea educației;</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subliniază că subordonarea sistemelor de învățământ superior, a sistemelor de formare profesională și a învățământului public în raport cu cerințele în materie de eficacitate, competitivitate directă și de capacitate de inserție profesională rapidă sau chiar imediată ar putea pune în pericol existența unor discipline și a unor meserii a căror dispariție – în pofida faptului că nu oferă absolvenților decât un număr limitat de oportunități profesionale – ar produce daune inestimabile pe termen mediu și lung culturii europene, artelor, cercetării științifice de nivel înalt sau cunoștințelor de pe plan local;</w:t>
      </w:r>
    </w:p>
    <w:p w:rsidR="00636F2E" w:rsidRPr="00DB443A" w:rsidRDefault="00636F2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subliniază că, în ceea ce privește instituțiile de învățământ, formare profesională și, după caz, de învățământ superior în care se predă în limbile minorităților naționale sau etnice, trebuie să se evite orice limitare a accesului la educație pentru elevii aparținând unei minorități și să se instituie sisteme care să permită oricărui absolvent care provine din comunități minoritare sau de imigranți din alte țări ale UE să beneficieze de accesul la formarea continuă și la ocuparea unui loc de muncă în condiții egale în raport cu ceilalți absolvenți;</w:t>
      </w:r>
    </w:p>
    <w:p w:rsidR="00FE0AEA" w:rsidRPr="00DB443A" w:rsidRDefault="00FE0AEA" w:rsidP="000F0860">
      <w:pPr>
        <w:overflowPunct/>
        <w:adjustRightInd/>
        <w:spacing w:line="281" w:lineRule="auto"/>
        <w:textAlignment w:val="auto"/>
      </w:pPr>
    </w:p>
    <w:p w:rsidR="007D134B" w:rsidRPr="00DB443A" w:rsidRDefault="00810E14" w:rsidP="000F0860">
      <w:pPr>
        <w:pStyle w:val="Heading1"/>
        <w:overflowPunct/>
        <w:adjustRightInd/>
        <w:spacing w:line="281" w:lineRule="auto"/>
        <w:ind w:left="567" w:hanging="567"/>
        <w:textAlignment w:val="auto"/>
      </w:pPr>
      <w:r w:rsidRPr="00DB443A">
        <w:t xml:space="preserve">recunoaşte că, în mai multe state membre, școlile și instituțiile de învățământ religios, precum și instituțiile de învățământ, de formare profesională și de învățământ superior gestionate de culte sau de organizații religioase, aduc o contribuție la </w:t>
      </w:r>
      <w:r w:rsidRPr="00DB443A">
        <w:rPr>
          <w:color w:val="000000" w:themeColor="text1"/>
        </w:rPr>
        <w:t>învățământul</w:t>
      </w:r>
      <w:r w:rsidRPr="00DB443A">
        <w:t xml:space="preserve"> general și superior din Europa, prin urmare aceste instituţii, ca de altfel orice instituţie de învățământ, nu trebuie să facă obiectul niciunei discriminări, cât timp aplică programa şcolară stabilită la nivel național;</w:t>
      </w:r>
      <w:r w:rsidRPr="00DB443A">
        <w:rPr>
          <w:color w:val="000000" w:themeColor="text1"/>
        </w:rPr>
        <w:t xml:space="preserve"> </w:t>
      </w:r>
      <w:r w:rsidRPr="00DB443A">
        <w:t>Totodată, subliniază că educația laică și respectul față de diferitele religii și convingeri sunt elemente de bază ale integrării europene.</w:t>
      </w:r>
    </w:p>
    <w:p w:rsidR="00F86FD0" w:rsidRPr="00DB443A" w:rsidRDefault="00F86FD0"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consideră că una dintre mizele fundamentale ale gestionării crizei migratoare și a situației refugiaților, solicitanților de azil și persoanelor aflate în circumstanțe similare constă în inventarierea aptitudinilor, competențelor și diplomelor persoanelor în cauză, precum și, după caz, în instituirea unor echivalări ale studiilor, fără de care nu se poate vorbi de o autentică integrare pe plan educațional sau pe piața forței de muncă; ca atare, își reiterează solicitarea privind acordarea de sprijin statelor membre în asigurarea accesului la activitățile care privesc identificarea competențelor, deprinderea cunoștințelor lingvistice de bază, îmbunătățirea competențelor și alte măsuri de promovare a integrării la loc</w:t>
      </w:r>
      <w:r w:rsidR="00116330">
        <w:t>ul de muncă și în societate. Ar </w:t>
      </w:r>
      <w:r w:rsidRPr="00DB443A">
        <w:t>trebui, de asemenea, să fie posibil ca persoanele cu formare/calificări obținute în țara lor de origine să aibă competențele evaluate fără întârziere</w:t>
      </w:r>
      <w:r w:rsidRPr="00DB443A">
        <w:rPr>
          <w:rStyle w:val="FootnoteReference"/>
        </w:rPr>
        <w:footnoteReference w:id="1"/>
      </w:r>
      <w:r w:rsidRPr="00DB443A">
        <w:t>. Consideră că autoritățile locale și regionale vizate ar trebui consultate, pentru a soluționa de comun acord și în mod eficace această situație, cu respectarea obiectivelor în materie de integrare, de egalitate de șanse și de drepturi ale omului;</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invită să se reflecteze asupra modalităților de a sprijini sportul și educația pentru sănătate în cadrul sistemului de învățământ, acordându-se o atenție specială învățământului primar și, mai ales, sprijinirii programelor extrașcolare;</w:t>
      </w:r>
    </w:p>
    <w:p w:rsidR="00B02AA1" w:rsidRPr="00DB443A" w:rsidRDefault="00B02AA1"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lastRenderedPageBreak/>
        <w:t>subliniază că educația și formarea profesională ar trebui să promoveze toleranţa şi valorile care stau la baza UE, adică respectarea demnității umane, a libertății, a democrației, a egalității, a statului de drept și respectarea drepturilor omului, inclusiv a drepturilor persoanelor aparținând minorităților, astfel încât să se combată radicalizarea, excluziunea, xenofobia și riscul de răspândire a extremismului, în toate formele sale;</w:t>
      </w:r>
    </w:p>
    <w:p w:rsidR="00BB50AE" w:rsidRPr="00DB443A" w:rsidRDefault="00BB50A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solicită în mod expres ca în cadrul eforturilor concertate pentru a reduce în mod real decalajul dintre regiuni să se asigure asistența necesară anumitor regiuni mai puțin dezvoltate, pentru ca ele să devină capabile să-și modernizeze învățământul preuniversitar și cel superior, continuând, totodată, să dezvolte educația și formarea profesională; trebuie menționat în acest sens că în unele dintre aceste regiuni, oferta de locuri de muncă se adresează în mare parte absolvenților instituțiilor de învățământ și formare profesională și că, în eventualitatea în care dezvoltarea acestui tip de învățământ nu va mai constitui una dintre priorități, situația economică și socială a regiunii respective riscă să se deterioreze și mai mult;</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împărtășește opinia Comisiei potrivit căreia, în domeniul educației, formării profesionale și învățământului superior, difuzarea instrumentelor de guvernanță pe mai multe niveluri și recurgerea la descentralizare, dacă acest lucru se justifică, ar putea reprezenta o abordare adecvată de promovare a cooperării și a partene</w:t>
      </w:r>
      <w:r w:rsidR="00116330">
        <w:t>riatelor între anumite regiuni -</w:t>
      </w:r>
      <w:r w:rsidRPr="00DB443A">
        <w:t xml:space="preserve"> în special între regiunile de frontieră sau c</w:t>
      </w:r>
      <w:r w:rsidR="00116330">
        <w:t>ele cu caracteristici similare -</w:t>
      </w:r>
      <w:r w:rsidRPr="00DB443A">
        <w:t xml:space="preserve"> în vederea unei planificări și a unei implementări eficiente a procesului de modernizare a educației și a învățământului superior;</w:t>
      </w:r>
    </w:p>
    <w:p w:rsidR="00336D5E" w:rsidRPr="00DB443A" w:rsidRDefault="00336D5E" w:rsidP="000F0860">
      <w:pPr>
        <w:overflowPunct/>
        <w:adjustRightInd/>
        <w:spacing w:line="281" w:lineRule="auto"/>
        <w:textAlignment w:val="auto"/>
      </w:pPr>
    </w:p>
    <w:p w:rsidR="007D134B" w:rsidRPr="00DB443A" w:rsidRDefault="007D134B" w:rsidP="000F0860">
      <w:pPr>
        <w:pStyle w:val="Heading1"/>
        <w:overflowPunct/>
        <w:adjustRightInd/>
        <w:spacing w:line="281" w:lineRule="auto"/>
        <w:ind w:left="567" w:hanging="567"/>
        <w:textAlignment w:val="auto"/>
      </w:pPr>
      <w:r w:rsidRPr="00DB443A">
        <w:t>invită Comisia Europeană să privească Comitetul European al Regiunilor ca pe un partener în cadrul elaborării politicii privind dezvoltarea și modernizarea educației și a învățământului superior, și să se folosească, cât mai mult posibil, în cadrul procesului de consultare, de expertiza de care dispun autoritățile locale și regionale atât ca părți interesate, cât și ca susținători ai sistemului educațional sau chiar ca entități organizatoare, în anumite cazuri.</w:t>
      </w:r>
    </w:p>
    <w:p w:rsidR="007D134B" w:rsidRPr="00DB443A" w:rsidRDefault="007D134B" w:rsidP="000F0860">
      <w:pPr>
        <w:overflowPunct/>
        <w:adjustRightInd/>
        <w:spacing w:line="281" w:lineRule="auto"/>
        <w:textAlignment w:val="auto"/>
      </w:pPr>
    </w:p>
    <w:p w:rsidR="007D134B" w:rsidRPr="00DB443A" w:rsidRDefault="005C3632" w:rsidP="000F0860">
      <w:pPr>
        <w:overflowPunct/>
        <w:adjustRightInd/>
        <w:spacing w:line="281" w:lineRule="auto"/>
        <w:textAlignment w:val="auto"/>
      </w:pPr>
      <w:r w:rsidRPr="00DB443A">
        <w:t>Bruxelles, …</w:t>
      </w:r>
    </w:p>
    <w:p w:rsidR="007D134B" w:rsidRPr="00DB443A" w:rsidRDefault="007D134B" w:rsidP="000F0860">
      <w:pPr>
        <w:overflowPunct/>
        <w:adjustRightInd/>
        <w:spacing w:line="281" w:lineRule="auto"/>
        <w:textAlignment w:val="auto"/>
      </w:pPr>
    </w:p>
    <w:p w:rsidR="007D134B" w:rsidRPr="00DB443A" w:rsidRDefault="000F0860" w:rsidP="000F0860">
      <w:pPr>
        <w:pStyle w:val="ListParagraph"/>
        <w:numPr>
          <w:ilvl w:val="0"/>
          <w:numId w:val="15"/>
        </w:numPr>
        <w:overflowPunct/>
        <w:adjustRightInd/>
        <w:spacing w:line="281" w:lineRule="auto"/>
        <w:ind w:left="567" w:hanging="567"/>
        <w:textAlignment w:val="auto"/>
      </w:pPr>
      <w:r w:rsidRPr="00DB443A">
        <w:br w:type="page"/>
      </w:r>
      <w:r w:rsidRPr="00DB443A">
        <w:rPr>
          <w:b/>
        </w:rPr>
        <w:lastRenderedPageBreak/>
        <w:t>PROCEDURĂ</w:t>
      </w:r>
    </w:p>
    <w:p w:rsidR="007D134B" w:rsidRPr="00DB443A" w:rsidRDefault="007D134B" w:rsidP="004B15B6">
      <w:pPr>
        <w:overflowPunct/>
        <w:adjustRightInd/>
        <w:spacing w:line="281" w:lineRule="auto"/>
        <w:textAlignment w:val="auto"/>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8"/>
        <w:gridCol w:w="5441"/>
      </w:tblGrid>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bookmarkStart w:id="0" w:name="_GoBack" w:colFirst="1" w:colLast="1"/>
            <w:r w:rsidRPr="00DB443A">
              <w:rPr>
                <w:b/>
              </w:rPr>
              <w:t>Titlu</w:t>
            </w:r>
          </w:p>
        </w:tc>
        <w:tc>
          <w:tcPr>
            <w:tcW w:w="5441" w:type="dxa"/>
            <w:noWrap/>
          </w:tcPr>
          <w:p w:rsidR="007D134B" w:rsidRPr="00DB443A" w:rsidRDefault="007D134B" w:rsidP="00116330">
            <w:pPr>
              <w:overflowPunct/>
              <w:adjustRightInd/>
              <w:spacing w:line="240" w:lineRule="auto"/>
              <w:textAlignment w:val="auto"/>
              <w:rPr>
                <w:szCs w:val="22"/>
              </w:rPr>
            </w:pPr>
            <w:r w:rsidRPr="00DB443A">
              <w:t>Modernizarea învățământului preuniversitar şi a învățământului superior</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Documente de referinţă</w:t>
            </w:r>
          </w:p>
        </w:tc>
        <w:tc>
          <w:tcPr>
            <w:tcW w:w="5441" w:type="dxa"/>
            <w:noWrap/>
          </w:tcPr>
          <w:p w:rsidR="007D134B" w:rsidRPr="00DB443A" w:rsidRDefault="007D134B" w:rsidP="00116330">
            <w:pPr>
              <w:overflowPunct/>
              <w:adjustRightInd/>
              <w:spacing w:line="240" w:lineRule="auto"/>
              <w:textAlignment w:val="auto"/>
              <w:rPr>
                <w:szCs w:val="22"/>
              </w:rPr>
            </w:pPr>
            <w:r w:rsidRPr="00DB443A">
              <w:t>COM(2016) 247 final, COM(2016) 248 final, COM(2016) 249 final</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Temei juridic</w:t>
            </w:r>
          </w:p>
        </w:tc>
        <w:tc>
          <w:tcPr>
            <w:tcW w:w="5441" w:type="dxa"/>
            <w:noWrap/>
          </w:tcPr>
          <w:p w:rsidR="007D134B" w:rsidRPr="00DB443A" w:rsidRDefault="005C3632" w:rsidP="00116330">
            <w:pPr>
              <w:overflowPunct/>
              <w:adjustRightInd/>
              <w:spacing w:line="240" w:lineRule="auto"/>
              <w:textAlignment w:val="auto"/>
              <w:rPr>
                <w:szCs w:val="22"/>
              </w:rPr>
            </w:pPr>
            <w:r w:rsidRPr="00DB443A">
              <w:t>articolele 165 și 166 din TFUE</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Baza procedurală</w:t>
            </w:r>
          </w:p>
        </w:tc>
        <w:tc>
          <w:tcPr>
            <w:tcW w:w="5441" w:type="dxa"/>
            <w:noWrap/>
          </w:tcPr>
          <w:p w:rsidR="007D134B" w:rsidRPr="00DB443A" w:rsidRDefault="007D134B" w:rsidP="00116330">
            <w:pPr>
              <w:overflowPunct/>
              <w:adjustRightInd/>
              <w:spacing w:line="240" w:lineRule="auto"/>
              <w:textAlignment w:val="auto"/>
              <w:rPr>
                <w:szCs w:val="22"/>
              </w:rPr>
            </w:pPr>
            <w:r w:rsidRPr="00DB443A">
              <w:t>articolul 41 litera (b) punctul (i) din Regulamentul de procedură</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 xml:space="preserve">Data sesizării de către Consiliu/Parlamentul European/ </w:t>
            </w:r>
            <w:r w:rsidRPr="00DB443A">
              <w:rPr>
                <w:b/>
              </w:rPr>
              <w:br/>
              <w:t>Data scrisorii Comisiei</w:t>
            </w:r>
          </w:p>
        </w:tc>
        <w:tc>
          <w:tcPr>
            <w:tcW w:w="5441" w:type="dxa"/>
            <w:noWrap/>
          </w:tcPr>
          <w:p w:rsidR="007D134B" w:rsidRPr="00DB443A" w:rsidRDefault="007D134B" w:rsidP="00116330">
            <w:pPr>
              <w:overflowPunct/>
              <w:adjustRightInd/>
              <w:spacing w:line="240" w:lineRule="auto"/>
              <w:textAlignment w:val="auto"/>
              <w:rPr>
                <w:szCs w:val="22"/>
              </w:rPr>
            </w:pPr>
            <w:r w:rsidRPr="00DB443A">
              <w:t>30 mai 2017</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Data deciziei Biroului/preşedintelui</w:t>
            </w:r>
          </w:p>
        </w:tc>
        <w:tc>
          <w:tcPr>
            <w:tcW w:w="5441" w:type="dxa"/>
            <w:noWrap/>
          </w:tcPr>
          <w:p w:rsidR="007D134B" w:rsidRPr="00DB443A" w:rsidRDefault="007D134B" w:rsidP="00116330">
            <w:pPr>
              <w:overflowPunct/>
              <w:adjustRightInd/>
              <w:spacing w:line="240" w:lineRule="auto"/>
              <w:textAlignment w:val="auto"/>
              <w:rPr>
                <w:szCs w:val="22"/>
              </w:rPr>
            </w:pPr>
            <w:r w:rsidRPr="00DB443A">
              <w:t>20 iunie 2017</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Comisia competentă</w:t>
            </w:r>
          </w:p>
        </w:tc>
        <w:tc>
          <w:tcPr>
            <w:tcW w:w="5441" w:type="dxa"/>
            <w:noWrap/>
          </w:tcPr>
          <w:p w:rsidR="007D134B" w:rsidRPr="00DB443A" w:rsidRDefault="007D134B" w:rsidP="00116330">
            <w:pPr>
              <w:overflowPunct/>
              <w:adjustRightInd/>
              <w:spacing w:line="240" w:lineRule="auto"/>
              <w:textAlignment w:val="auto"/>
              <w:rPr>
                <w:szCs w:val="22"/>
              </w:rPr>
            </w:pPr>
            <w:r w:rsidRPr="00DB443A">
              <w:t>SEDEC</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Raportor</w:t>
            </w:r>
          </w:p>
        </w:tc>
        <w:tc>
          <w:tcPr>
            <w:tcW w:w="5441" w:type="dxa"/>
            <w:noWrap/>
          </w:tcPr>
          <w:p w:rsidR="007D134B" w:rsidRPr="00DB443A" w:rsidRDefault="007D134B" w:rsidP="00116330">
            <w:pPr>
              <w:overflowPunct/>
              <w:adjustRightInd/>
              <w:spacing w:line="240" w:lineRule="auto"/>
              <w:textAlignment w:val="auto"/>
              <w:rPr>
                <w:szCs w:val="22"/>
              </w:rPr>
            </w:pPr>
            <w:r w:rsidRPr="00DB443A">
              <w:t>Csaba BORBOLY (RO-PPE)</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Notă de analiză</w:t>
            </w:r>
          </w:p>
        </w:tc>
        <w:tc>
          <w:tcPr>
            <w:tcW w:w="5441" w:type="dxa"/>
            <w:noWrap/>
          </w:tcPr>
          <w:p w:rsidR="007D134B" w:rsidRPr="00DB443A" w:rsidRDefault="005C3632" w:rsidP="00116330">
            <w:pPr>
              <w:overflowPunct/>
              <w:adjustRightInd/>
              <w:spacing w:line="240" w:lineRule="auto"/>
              <w:textAlignment w:val="auto"/>
              <w:rPr>
                <w:szCs w:val="22"/>
              </w:rPr>
            </w:pPr>
            <w:r w:rsidRPr="00DB443A">
              <w:t>iulie 2017</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Examinare în comisie</w:t>
            </w:r>
          </w:p>
        </w:tc>
        <w:tc>
          <w:tcPr>
            <w:tcW w:w="5441" w:type="dxa"/>
            <w:noWrap/>
          </w:tcPr>
          <w:p w:rsidR="007D134B" w:rsidRPr="00DB443A" w:rsidRDefault="007D134B" w:rsidP="00116330">
            <w:pPr>
              <w:overflowPunct/>
              <w:adjustRightInd/>
              <w:spacing w:line="240" w:lineRule="auto"/>
              <w:textAlignment w:val="auto"/>
              <w:rPr>
                <w:szCs w:val="22"/>
              </w:rPr>
            </w:pPr>
            <w:r w:rsidRPr="00DB443A">
              <w:t xml:space="preserve">28 septembrie 2017 </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Data adoptării în Comisie</w:t>
            </w:r>
          </w:p>
        </w:tc>
        <w:tc>
          <w:tcPr>
            <w:tcW w:w="5441" w:type="dxa"/>
            <w:noWrap/>
          </w:tcPr>
          <w:p w:rsidR="007D134B" w:rsidRPr="00DB443A" w:rsidRDefault="007D134B" w:rsidP="00116330">
            <w:pPr>
              <w:overflowPunct/>
              <w:adjustRightInd/>
              <w:spacing w:line="240" w:lineRule="auto"/>
              <w:textAlignment w:val="auto"/>
              <w:rPr>
                <w:szCs w:val="22"/>
              </w:rPr>
            </w:pPr>
            <w:r w:rsidRPr="00DB443A">
              <w:t xml:space="preserve">28 septembrie 2017 </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Rezultatul votului în comisie (majoritate, unanimitate)</w:t>
            </w:r>
          </w:p>
        </w:tc>
        <w:tc>
          <w:tcPr>
            <w:tcW w:w="5441" w:type="dxa"/>
            <w:noWrap/>
          </w:tcPr>
          <w:p w:rsidR="007D134B" w:rsidRPr="00DB443A" w:rsidRDefault="00AE62DD" w:rsidP="00116330">
            <w:pPr>
              <w:overflowPunct/>
              <w:adjustRightInd/>
              <w:spacing w:line="240" w:lineRule="auto"/>
              <w:textAlignment w:val="auto"/>
              <w:rPr>
                <w:szCs w:val="22"/>
              </w:rPr>
            </w:pPr>
            <w:r w:rsidRPr="00DB443A">
              <w:t xml:space="preserve">majoritate de voturi </w:t>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szCs w:val="22"/>
              </w:rPr>
            </w:pPr>
            <w:r w:rsidRPr="00DB443A">
              <w:rPr>
                <w:b/>
              </w:rPr>
              <w:t>Data adoptării în sesiunea plenară</w:t>
            </w:r>
          </w:p>
        </w:tc>
        <w:tc>
          <w:tcPr>
            <w:tcW w:w="5441" w:type="dxa"/>
            <w:noWrap/>
          </w:tcPr>
          <w:p w:rsidR="007D134B" w:rsidRPr="00DB443A" w:rsidRDefault="007D134B" w:rsidP="00116330">
            <w:pPr>
              <w:overflowPunct/>
              <w:adjustRightInd/>
              <w:spacing w:line="240" w:lineRule="auto"/>
              <w:textAlignment w:val="auto"/>
              <w:rPr>
                <w:szCs w:val="22"/>
              </w:rPr>
            </w:pPr>
            <w:r w:rsidRPr="00DB443A">
              <w:t>30 noiembrie – 1 decembrie 2017</w:t>
            </w:r>
          </w:p>
        </w:tc>
      </w:tr>
      <w:bookmarkEnd w:id="0"/>
      <w:tr w:rsidR="007D134B" w:rsidRPr="00DB443A" w:rsidTr="00082865">
        <w:tc>
          <w:tcPr>
            <w:tcW w:w="3848" w:type="dxa"/>
            <w:noWrap/>
          </w:tcPr>
          <w:p w:rsidR="007D134B" w:rsidRPr="00DB443A" w:rsidRDefault="007D134B" w:rsidP="004B15B6">
            <w:pPr>
              <w:overflowPunct/>
              <w:adjustRightInd/>
              <w:spacing w:line="240" w:lineRule="auto"/>
              <w:textAlignment w:val="auto"/>
              <w:rPr>
                <w:szCs w:val="22"/>
              </w:rPr>
            </w:pPr>
            <w:r w:rsidRPr="00DB443A">
              <w:rPr>
                <w:b/>
              </w:rPr>
              <w:t>Avize precedente ale Comitetului</w:t>
            </w:r>
          </w:p>
        </w:tc>
        <w:tc>
          <w:tcPr>
            <w:tcW w:w="5441" w:type="dxa"/>
            <w:noWrap/>
          </w:tcPr>
          <w:p w:rsidR="007D134B" w:rsidRPr="00DB443A" w:rsidRDefault="007D134B" w:rsidP="004B15B6">
            <w:pPr>
              <w:overflowPunct/>
              <w:adjustRightInd/>
              <w:spacing w:line="240" w:lineRule="auto"/>
              <w:textAlignment w:val="auto"/>
            </w:pPr>
            <w:r w:rsidRPr="00DB443A">
              <w:t>Investiția în tinerii Europei și Corpul european de solidaritate</w:t>
            </w:r>
            <w:r w:rsidRPr="00DB443A">
              <w:rPr>
                <w:rStyle w:val="FootnoteReference"/>
              </w:rPr>
              <w:footnoteReference w:id="2"/>
            </w:r>
          </w:p>
          <w:p w:rsidR="007D134B" w:rsidRPr="00DB443A" w:rsidRDefault="007D134B" w:rsidP="004B15B6">
            <w:pPr>
              <w:overflowPunct/>
              <w:adjustRightInd/>
              <w:spacing w:line="240" w:lineRule="auto"/>
              <w:textAlignment w:val="auto"/>
            </w:pPr>
            <w:r w:rsidRPr="00DB443A">
              <w:t>O nouă agendă pentru competențe în Europa</w:t>
            </w:r>
            <w:r w:rsidRPr="00DB443A">
              <w:rPr>
                <w:rStyle w:val="FootnoteReference"/>
              </w:rPr>
              <w:footnoteReference w:id="3"/>
            </w:r>
          </w:p>
          <w:p w:rsidR="007D134B" w:rsidRPr="00DB443A" w:rsidRDefault="007D134B" w:rsidP="004B15B6">
            <w:pPr>
              <w:overflowPunct/>
              <w:adjustRightInd/>
              <w:spacing w:line="240" w:lineRule="auto"/>
              <w:textAlignment w:val="auto"/>
              <w:rPr>
                <w:rFonts w:eastAsia="PMingLiU"/>
              </w:rPr>
            </w:pPr>
            <w:r w:rsidRPr="00DB443A">
              <w:t>Recunoașterea abilităților și competențelor dobândite în cadrul învățării nonformale și informale</w:t>
            </w:r>
            <w:r w:rsidRPr="00DB443A">
              <w:rPr>
                <w:rStyle w:val="FootnoteReference"/>
              </w:rPr>
              <w:footnoteReference w:id="4"/>
            </w:r>
          </w:p>
          <w:p w:rsidR="007D134B" w:rsidRPr="00DB443A" w:rsidRDefault="007D134B" w:rsidP="004B15B6">
            <w:pPr>
              <w:overflowPunct/>
              <w:adjustRightInd/>
              <w:spacing w:line="240" w:lineRule="auto"/>
              <w:textAlignment w:val="auto"/>
              <w:rPr>
                <w:rFonts w:eastAsia="PMingLiU"/>
              </w:rPr>
            </w:pPr>
            <w:r w:rsidRPr="00DB443A">
              <w:t>Cadrul de calitate al UE pentru anticiparea schimbărilor și restructurare</w:t>
            </w:r>
            <w:r w:rsidRPr="00DB443A">
              <w:rPr>
                <w:rStyle w:val="FootnoteReference"/>
              </w:rPr>
              <w:footnoteReference w:id="5"/>
            </w:r>
          </w:p>
          <w:p w:rsidR="007D134B" w:rsidRPr="00DB443A" w:rsidRDefault="007D134B" w:rsidP="004B15B6">
            <w:pPr>
              <w:overflowPunct/>
              <w:adjustRightInd/>
              <w:spacing w:line="240" w:lineRule="auto"/>
              <w:textAlignment w:val="auto"/>
              <w:rPr>
                <w:rFonts w:eastAsia="PMingLiU"/>
              </w:rPr>
            </w:pPr>
            <w:r w:rsidRPr="00DB443A">
              <w:t>Deschiderea educației</w:t>
            </w:r>
            <w:r w:rsidRPr="00DB443A">
              <w:rPr>
                <w:rStyle w:val="FootnoteReference"/>
              </w:rPr>
              <w:footnoteReference w:id="6"/>
            </w:r>
          </w:p>
          <w:p w:rsidR="007D134B" w:rsidRPr="00DB443A" w:rsidRDefault="007D134B" w:rsidP="004B15B6">
            <w:pPr>
              <w:overflowPunct/>
              <w:adjustRightInd/>
              <w:spacing w:line="240" w:lineRule="auto"/>
              <w:textAlignment w:val="auto"/>
              <w:rPr>
                <w:rFonts w:eastAsia="PMingLiU"/>
              </w:rPr>
            </w:pPr>
            <w:r w:rsidRPr="00DB443A">
              <w:t>Învățământul superior european în lume</w:t>
            </w:r>
            <w:r w:rsidRPr="00DB443A">
              <w:rPr>
                <w:rStyle w:val="FootnoteReference"/>
              </w:rPr>
              <w:footnoteReference w:id="7"/>
            </w:r>
          </w:p>
          <w:p w:rsidR="007D134B" w:rsidRPr="00DB443A" w:rsidRDefault="007D134B" w:rsidP="004B15B6">
            <w:pPr>
              <w:overflowPunct/>
              <w:adjustRightInd/>
              <w:spacing w:line="240" w:lineRule="auto"/>
              <w:textAlignment w:val="auto"/>
              <w:rPr>
                <w:rFonts w:eastAsia="PMingLiU"/>
              </w:rPr>
            </w:pPr>
            <w:r w:rsidRPr="00DB443A">
              <w:t>Regândirea educației</w:t>
            </w:r>
            <w:r w:rsidRPr="00DB443A">
              <w:rPr>
                <w:rStyle w:val="FootnoteReference"/>
              </w:rPr>
              <w:footnoteReference w:id="8"/>
            </w:r>
          </w:p>
          <w:p w:rsidR="007D134B" w:rsidRPr="00DB443A" w:rsidRDefault="007D134B" w:rsidP="004B15B6">
            <w:pPr>
              <w:overflowPunct/>
              <w:adjustRightInd/>
              <w:spacing w:line="240" w:lineRule="auto"/>
              <w:textAlignment w:val="auto"/>
              <w:rPr>
                <w:rFonts w:eastAsia="PMingLiU"/>
              </w:rPr>
            </w:pPr>
            <w:r w:rsidRPr="00DB443A">
              <w:t>Un cadru de calitate pentru stagii</w:t>
            </w:r>
            <w:r w:rsidRPr="00DB443A">
              <w:rPr>
                <w:rStyle w:val="FootnoteReference"/>
              </w:rPr>
              <w:footnoteReference w:id="9"/>
            </w:r>
          </w:p>
          <w:p w:rsidR="007D134B" w:rsidRPr="00DB443A" w:rsidRDefault="007D134B" w:rsidP="004B15B6">
            <w:pPr>
              <w:overflowPunct/>
              <w:adjustRightInd/>
              <w:spacing w:line="240" w:lineRule="auto"/>
              <w:textAlignment w:val="auto"/>
              <w:rPr>
                <w:rFonts w:eastAsia="PMingLiU"/>
              </w:rPr>
            </w:pPr>
            <w:r w:rsidRPr="00DB443A">
              <w:t>Erasmus pentru toți</w:t>
            </w:r>
            <w:r w:rsidRPr="00DB443A">
              <w:rPr>
                <w:rStyle w:val="FootnoteReference"/>
              </w:rPr>
              <w:footnoteReference w:id="10"/>
            </w:r>
          </w:p>
          <w:p w:rsidR="007D134B" w:rsidRPr="00DB443A" w:rsidRDefault="007D134B" w:rsidP="004B15B6">
            <w:pPr>
              <w:overflowPunct/>
              <w:adjustRightInd/>
              <w:spacing w:line="240" w:lineRule="auto"/>
              <w:textAlignment w:val="auto"/>
              <w:rPr>
                <w:rFonts w:eastAsia="PMingLiU"/>
              </w:rPr>
            </w:pPr>
            <w:r w:rsidRPr="00DB443A">
              <w:t>Modernizarea învățământului superior</w:t>
            </w:r>
            <w:r w:rsidRPr="00DB443A">
              <w:rPr>
                <w:rStyle w:val="FootnoteReference"/>
              </w:rPr>
              <w:footnoteReference w:id="11"/>
            </w:r>
          </w:p>
          <w:p w:rsidR="007D134B" w:rsidRPr="00DB443A" w:rsidRDefault="007D134B" w:rsidP="004B15B6">
            <w:pPr>
              <w:overflowPunct/>
              <w:adjustRightInd/>
              <w:spacing w:line="240" w:lineRule="auto"/>
              <w:textAlignment w:val="auto"/>
              <w:rPr>
                <w:szCs w:val="22"/>
              </w:rPr>
            </w:pPr>
            <w:r w:rsidRPr="00DB443A">
              <w:t>Agenda pentru noi competențe și noi locuri de muncă</w:t>
            </w:r>
            <w:r w:rsidRPr="00DB443A">
              <w:rPr>
                <w:rStyle w:val="FootnoteReference"/>
              </w:rPr>
              <w:footnoteReference w:id="12"/>
            </w:r>
          </w:p>
        </w:tc>
      </w:tr>
      <w:tr w:rsidR="007D134B" w:rsidRPr="00DB443A" w:rsidTr="00082865">
        <w:tc>
          <w:tcPr>
            <w:tcW w:w="3848" w:type="dxa"/>
            <w:noWrap/>
          </w:tcPr>
          <w:p w:rsidR="007D134B" w:rsidRPr="00DB443A" w:rsidRDefault="007D134B" w:rsidP="004B15B6">
            <w:pPr>
              <w:overflowPunct/>
              <w:adjustRightInd/>
              <w:spacing w:line="281" w:lineRule="auto"/>
              <w:textAlignment w:val="auto"/>
              <w:rPr>
                <w:b/>
                <w:bCs/>
                <w:szCs w:val="22"/>
              </w:rPr>
            </w:pPr>
            <w:r w:rsidRPr="00DB443A">
              <w:rPr>
                <w:b/>
              </w:rPr>
              <w:lastRenderedPageBreak/>
              <w:t>Data consultării Rețelei de monitorizare a subsidiarității</w:t>
            </w:r>
          </w:p>
        </w:tc>
        <w:tc>
          <w:tcPr>
            <w:tcW w:w="5441" w:type="dxa"/>
            <w:noWrap/>
          </w:tcPr>
          <w:p w:rsidR="007D134B" w:rsidRPr="00DB443A" w:rsidRDefault="007D134B" w:rsidP="004B15B6">
            <w:pPr>
              <w:overflowPunct/>
              <w:adjustRightInd/>
              <w:spacing w:line="281" w:lineRule="auto"/>
              <w:textAlignment w:val="auto"/>
              <w:rPr>
                <w:szCs w:val="22"/>
              </w:rPr>
            </w:pPr>
            <w:r w:rsidRPr="00DB443A">
              <w:t>nu se aplică</w:t>
            </w:r>
          </w:p>
        </w:tc>
      </w:tr>
    </w:tbl>
    <w:p w:rsidR="00116330" w:rsidRDefault="00116330" w:rsidP="00116330"/>
    <w:p w:rsidR="007D134B" w:rsidRPr="00DB443A" w:rsidRDefault="007D134B" w:rsidP="000F0860">
      <w:pPr>
        <w:spacing w:line="281" w:lineRule="auto"/>
        <w:jc w:val="center"/>
      </w:pPr>
      <w:r w:rsidRPr="00DB443A">
        <w:t>_____________</w:t>
      </w:r>
    </w:p>
    <w:sectPr w:rsidR="007D134B" w:rsidRPr="00DB443A" w:rsidSect="00DB443A">
      <w:headerReference w:type="even" r:id="rId22"/>
      <w:headerReference w:type="default" r:id="rId23"/>
      <w:footerReference w:type="even" r:id="rId24"/>
      <w:footerReference w:type="default" r:id="rId25"/>
      <w:headerReference w:type="first" r:id="rId26"/>
      <w:footerReference w:type="first" r:id="rId27"/>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9B" w:rsidRDefault="00574D9B">
      <w:r>
        <w:separator/>
      </w:r>
    </w:p>
  </w:endnote>
  <w:endnote w:type="continuationSeparator" w:id="0">
    <w:p w:rsidR="00574D9B" w:rsidRDefault="0057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Pr="00DB443A" w:rsidRDefault="00DB443A" w:rsidP="00DB4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B" w:rsidRPr="00DB443A" w:rsidRDefault="00DB443A" w:rsidP="00DB443A">
    <w:pPr>
      <w:pStyle w:val="Footer"/>
    </w:pPr>
    <w:r>
      <w:t xml:space="preserve">COR-2017-03139-00-00-PAC-TRA (EN) </w:t>
    </w:r>
    <w:r>
      <w:fldChar w:fldCharType="begin"/>
    </w:r>
    <w:r>
      <w:instrText xml:space="preserve"> PAGE  \* Arabic  \* MERGEFORMAT </w:instrText>
    </w:r>
    <w:r>
      <w:fldChar w:fldCharType="separate"/>
    </w:r>
    <w:r w:rsidR="00541BAF">
      <w:rPr>
        <w:noProof/>
      </w:rPr>
      <w:t>1</w:t>
    </w:r>
    <w:r>
      <w:fldChar w:fldCharType="end"/>
    </w:r>
    <w:r>
      <w:t>/</w:t>
    </w:r>
    <w:r>
      <w:fldChar w:fldCharType="begin"/>
    </w:r>
    <w:r>
      <w:instrText xml:space="preserve"> = </w:instrText>
    </w:r>
    <w:fldSimple w:instr=" NUMPAGES ">
      <w:r w:rsidR="00541BAF">
        <w:rPr>
          <w:noProof/>
        </w:rPr>
        <w:instrText>1</w:instrText>
      </w:r>
    </w:fldSimple>
    <w:r>
      <w:instrText xml:space="preserve"> -0 </w:instrText>
    </w:r>
    <w:r>
      <w:fldChar w:fldCharType="separate"/>
    </w:r>
    <w:r w:rsidR="00541BAF">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Pr="00DB443A" w:rsidRDefault="00DB443A" w:rsidP="00DB44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DB443A" w:rsidRDefault="002D1629" w:rsidP="00DB443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DB443A" w:rsidRDefault="00DB443A" w:rsidP="00DB443A">
    <w:pPr>
      <w:pStyle w:val="Footer"/>
    </w:pPr>
    <w:r>
      <w:t xml:space="preserve">COR-2017-03139-00-00-PAC-TRA (EN) </w:t>
    </w:r>
    <w:r>
      <w:fldChar w:fldCharType="begin"/>
    </w:r>
    <w:r>
      <w:instrText xml:space="preserve"> PAGE  \* Arabic  \* MERGEFORMAT </w:instrText>
    </w:r>
    <w:r>
      <w:fldChar w:fldCharType="separate"/>
    </w:r>
    <w:r w:rsidR="00541BAF">
      <w:rPr>
        <w:noProof/>
      </w:rPr>
      <w:t>12</w:t>
    </w:r>
    <w:r>
      <w:fldChar w:fldCharType="end"/>
    </w:r>
    <w:r>
      <w:t>/</w:t>
    </w:r>
    <w:r>
      <w:fldChar w:fldCharType="begin"/>
    </w:r>
    <w:r>
      <w:instrText xml:space="preserve"> = </w:instrText>
    </w:r>
    <w:fldSimple w:instr=" NUMPAGES ">
      <w:r w:rsidR="00541BAF">
        <w:rPr>
          <w:noProof/>
        </w:rPr>
        <w:instrText>12</w:instrText>
      </w:r>
    </w:fldSimple>
    <w:r>
      <w:instrText xml:space="preserve"> -0 </w:instrText>
    </w:r>
    <w:r>
      <w:fldChar w:fldCharType="separate"/>
    </w:r>
    <w:r w:rsidR="00541BAF">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DB443A" w:rsidRDefault="002D1629" w:rsidP="00DB4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9B" w:rsidRDefault="00574D9B">
      <w:r>
        <w:separator/>
      </w:r>
    </w:p>
  </w:footnote>
  <w:footnote w:type="continuationSeparator" w:id="0">
    <w:p w:rsidR="00574D9B" w:rsidRDefault="00574D9B">
      <w:r>
        <w:continuationSeparator/>
      </w:r>
    </w:p>
  </w:footnote>
  <w:footnote w:id="1">
    <w:p w:rsidR="00274C8D" w:rsidRPr="00DB443A" w:rsidRDefault="00274C8D" w:rsidP="000F0860">
      <w:pPr>
        <w:pStyle w:val="FootnoteText"/>
      </w:pPr>
      <w:r w:rsidRPr="00DB443A">
        <w:rPr>
          <w:rStyle w:val="FootnoteReference"/>
        </w:rPr>
        <w:footnoteRef/>
      </w:r>
      <w:r w:rsidRPr="00DB443A">
        <w:rPr>
          <w:rStyle w:val="FootnoteReference"/>
        </w:rPr>
        <w:t xml:space="preserve"> </w:t>
      </w:r>
      <w:r w:rsidRPr="00DB443A">
        <w:tab/>
        <w:t>Avizul CoR „O nouă agendă pentru competențe în Europa” (COR-2016-04094)</w:t>
      </w:r>
    </w:p>
  </w:footnote>
  <w:footnote w:id="2">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851/2017.</w:t>
      </w:r>
    </w:p>
  </w:footnote>
  <w:footnote w:id="3">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4094/2016.</w:t>
      </w:r>
    </w:p>
  </w:footnote>
  <w:footnote w:id="4">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3921/2014.</w:t>
      </w:r>
    </w:p>
  </w:footnote>
  <w:footnote w:id="5">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1319/2014.</w:t>
      </w:r>
    </w:p>
  </w:footnote>
  <w:footnote w:id="6">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6183/2013.</w:t>
      </w:r>
    </w:p>
  </w:footnote>
  <w:footnote w:id="7">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5961/2013.</w:t>
      </w:r>
    </w:p>
  </w:footnote>
  <w:footnote w:id="8">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2392/2012.</w:t>
      </w:r>
    </w:p>
  </w:footnote>
  <w:footnote w:id="9">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111/2014.</w:t>
      </w:r>
    </w:p>
  </w:footnote>
  <w:footnote w:id="10">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400/2011.</w:t>
      </w:r>
    </w:p>
  </w:footnote>
  <w:footnote w:id="11">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290/2011.</w:t>
      </w:r>
    </w:p>
  </w:footnote>
  <w:footnote w:id="12">
    <w:p w:rsidR="007D134B" w:rsidRPr="00DB443A" w:rsidRDefault="007D134B" w:rsidP="000F0860">
      <w:pPr>
        <w:pStyle w:val="FootnoteText"/>
      </w:pPr>
      <w:r w:rsidRPr="00DB443A">
        <w:rPr>
          <w:rStyle w:val="FootnoteReference"/>
        </w:rPr>
        <w:footnoteRef/>
      </w:r>
      <w:r w:rsidRPr="00DB443A">
        <w:rPr>
          <w:rStyle w:val="FootnoteReference"/>
        </w:rPr>
        <w:t xml:space="preserve"> </w:t>
      </w:r>
      <w:r w:rsidRPr="00DB443A">
        <w:tab/>
      </w:r>
      <w:r w:rsidRPr="00DB443A">
        <w:t>CDR 401/2010.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Pr="00DB443A" w:rsidRDefault="00DB443A" w:rsidP="00DB4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Pr="00DB443A" w:rsidRDefault="00DB443A" w:rsidP="00DB44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3A" w:rsidRPr="00DB443A" w:rsidRDefault="00DB443A" w:rsidP="00DB44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DB443A" w:rsidRDefault="002D1629" w:rsidP="00DB44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DB443A" w:rsidRDefault="002D1629" w:rsidP="00DB44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DB443A" w:rsidRDefault="002D1629" w:rsidP="00DB44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E96977"/>
    <w:multiLevelType w:val="hybridMultilevel"/>
    <w:tmpl w:val="7C344B14"/>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4E79D9"/>
    <w:multiLevelType w:val="singleLevel"/>
    <w:tmpl w:val="7C344B14"/>
    <w:lvl w:ilvl="0">
      <w:start w:val="1"/>
      <w:numFmt w:val="upperRoman"/>
      <w:lvlText w:val="%1."/>
      <w:lvlJc w:val="left"/>
      <w:pPr>
        <w:ind w:left="720" w:hanging="360"/>
      </w:pPr>
      <w:rPr>
        <w:rFonts w:hint="default"/>
        <w:b/>
      </w:rPr>
    </w:lvl>
  </w:abstractNum>
  <w:abstractNum w:abstractNumId="11">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EB66CD"/>
    <w:multiLevelType w:val="singleLevel"/>
    <w:tmpl w:val="7C344B14"/>
    <w:lvl w:ilvl="0">
      <w:start w:val="1"/>
      <w:numFmt w:val="upperRoman"/>
      <w:lvlText w:val="%1."/>
      <w:lvlJc w:val="left"/>
      <w:pPr>
        <w:ind w:left="720" w:hanging="360"/>
      </w:pPr>
      <w:rPr>
        <w:rFonts w:hint="default"/>
        <w:b/>
      </w:rPr>
    </w:lvl>
  </w:abstractNum>
  <w:abstractNum w:abstractNumId="14">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922CB"/>
    <w:multiLevelType w:val="singleLevel"/>
    <w:tmpl w:val="7C344B14"/>
    <w:lvl w:ilvl="0">
      <w:start w:val="1"/>
      <w:numFmt w:val="upperRoman"/>
      <w:lvlText w:val="%1."/>
      <w:lvlJc w:val="left"/>
      <w:pPr>
        <w:ind w:left="720" w:hanging="360"/>
      </w:pPr>
      <w:rPr>
        <w:rFonts w:hint="default"/>
        <w:b/>
      </w:rPr>
    </w:lvl>
  </w:abstractNum>
  <w:num w:numId="1">
    <w:abstractNumId w:val="0"/>
  </w:num>
  <w:num w:numId="2">
    <w:abstractNumId w:val="5"/>
  </w:num>
  <w:num w:numId="3">
    <w:abstractNumId w:val="14"/>
  </w:num>
  <w:num w:numId="4">
    <w:abstractNumId w:val="6"/>
  </w:num>
  <w:num w:numId="5">
    <w:abstractNumId w:val="8"/>
  </w:num>
  <w:num w:numId="6">
    <w:abstractNumId w:val="3"/>
  </w:num>
  <w:num w:numId="7">
    <w:abstractNumId w:val="1"/>
  </w:num>
  <w:num w:numId="8">
    <w:abstractNumId w:val="12"/>
  </w:num>
  <w:num w:numId="9">
    <w:abstractNumId w:val="9"/>
  </w:num>
  <w:num w:numId="10">
    <w:abstractNumId w:val="11"/>
  </w:num>
  <w:num w:numId="11">
    <w:abstractNumId w:val="2"/>
  </w:num>
  <w:num w:numId="12">
    <w:abstractNumId w:val="7"/>
  </w:num>
  <w:num w:numId="13">
    <w:abstractNumId w:val="15"/>
  </w:num>
  <w:num w:numId="14">
    <w:abstractNumId w:val="4"/>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12173"/>
    <w:rsid w:val="00020D7F"/>
    <w:rsid w:val="000257DB"/>
    <w:rsid w:val="00042DCB"/>
    <w:rsid w:val="00046DAC"/>
    <w:rsid w:val="00047002"/>
    <w:rsid w:val="000615B3"/>
    <w:rsid w:val="00067BA8"/>
    <w:rsid w:val="00074027"/>
    <w:rsid w:val="00083AE8"/>
    <w:rsid w:val="00083F11"/>
    <w:rsid w:val="00091F83"/>
    <w:rsid w:val="000A01F6"/>
    <w:rsid w:val="000B74D3"/>
    <w:rsid w:val="000C3BC1"/>
    <w:rsid w:val="000D6A84"/>
    <w:rsid w:val="000F0860"/>
    <w:rsid w:val="000F0A56"/>
    <w:rsid w:val="000F62F8"/>
    <w:rsid w:val="0010086D"/>
    <w:rsid w:val="00101FBB"/>
    <w:rsid w:val="00112E32"/>
    <w:rsid w:val="00115A04"/>
    <w:rsid w:val="00116330"/>
    <w:rsid w:val="0012190B"/>
    <w:rsid w:val="00131D21"/>
    <w:rsid w:val="001501C1"/>
    <w:rsid w:val="001546DA"/>
    <w:rsid w:val="001548D5"/>
    <w:rsid w:val="0015645B"/>
    <w:rsid w:val="00156512"/>
    <w:rsid w:val="0016150F"/>
    <w:rsid w:val="001B33A4"/>
    <w:rsid w:val="001C110B"/>
    <w:rsid w:val="001C66A9"/>
    <w:rsid w:val="001D226A"/>
    <w:rsid w:val="001D2F9B"/>
    <w:rsid w:val="001D3BE0"/>
    <w:rsid w:val="001E5620"/>
    <w:rsid w:val="001F1AB8"/>
    <w:rsid w:val="002033F5"/>
    <w:rsid w:val="002054D0"/>
    <w:rsid w:val="002302F1"/>
    <w:rsid w:val="002413A7"/>
    <w:rsid w:val="002447DD"/>
    <w:rsid w:val="002526F1"/>
    <w:rsid w:val="00254B94"/>
    <w:rsid w:val="00254E56"/>
    <w:rsid w:val="0026767E"/>
    <w:rsid w:val="00274C8D"/>
    <w:rsid w:val="00293319"/>
    <w:rsid w:val="002A67BF"/>
    <w:rsid w:val="002B1E5E"/>
    <w:rsid w:val="002D1629"/>
    <w:rsid w:val="002D618D"/>
    <w:rsid w:val="002F03D6"/>
    <w:rsid w:val="00312F3D"/>
    <w:rsid w:val="00314A0E"/>
    <w:rsid w:val="003177A9"/>
    <w:rsid w:val="00322488"/>
    <w:rsid w:val="00334D96"/>
    <w:rsid w:val="00336D5E"/>
    <w:rsid w:val="00343073"/>
    <w:rsid w:val="003563A4"/>
    <w:rsid w:val="00367564"/>
    <w:rsid w:val="00370351"/>
    <w:rsid w:val="00373ED4"/>
    <w:rsid w:val="00374ED4"/>
    <w:rsid w:val="00383975"/>
    <w:rsid w:val="00384118"/>
    <w:rsid w:val="0039084B"/>
    <w:rsid w:val="003A043C"/>
    <w:rsid w:val="003A129E"/>
    <w:rsid w:val="003A60AE"/>
    <w:rsid w:val="003B0723"/>
    <w:rsid w:val="003B1C77"/>
    <w:rsid w:val="003C0F98"/>
    <w:rsid w:val="003D166F"/>
    <w:rsid w:val="003D3733"/>
    <w:rsid w:val="003E420C"/>
    <w:rsid w:val="003E5991"/>
    <w:rsid w:val="00406724"/>
    <w:rsid w:val="00406A0F"/>
    <w:rsid w:val="00410992"/>
    <w:rsid w:val="00421E63"/>
    <w:rsid w:val="004245E8"/>
    <w:rsid w:val="004336B4"/>
    <w:rsid w:val="00444A98"/>
    <w:rsid w:val="00454AD9"/>
    <w:rsid w:val="0045510C"/>
    <w:rsid w:val="00475484"/>
    <w:rsid w:val="004827B8"/>
    <w:rsid w:val="00487E64"/>
    <w:rsid w:val="0049334D"/>
    <w:rsid w:val="00497B52"/>
    <w:rsid w:val="004A0C7C"/>
    <w:rsid w:val="004A41CF"/>
    <w:rsid w:val="004A5101"/>
    <w:rsid w:val="004B15B6"/>
    <w:rsid w:val="004C5075"/>
    <w:rsid w:val="004E3DB0"/>
    <w:rsid w:val="004E605D"/>
    <w:rsid w:val="004F6586"/>
    <w:rsid w:val="00522C8E"/>
    <w:rsid w:val="005334CE"/>
    <w:rsid w:val="00541BAF"/>
    <w:rsid w:val="005523CF"/>
    <w:rsid w:val="00571DEF"/>
    <w:rsid w:val="00574D9B"/>
    <w:rsid w:val="00575FC1"/>
    <w:rsid w:val="00583866"/>
    <w:rsid w:val="005918A5"/>
    <w:rsid w:val="00591F11"/>
    <w:rsid w:val="00592ED0"/>
    <w:rsid w:val="005A41BB"/>
    <w:rsid w:val="005A7F8D"/>
    <w:rsid w:val="005B2905"/>
    <w:rsid w:val="005B4AA1"/>
    <w:rsid w:val="005B5D3A"/>
    <w:rsid w:val="005B7425"/>
    <w:rsid w:val="005C3632"/>
    <w:rsid w:val="005C36CD"/>
    <w:rsid w:val="005C4B78"/>
    <w:rsid w:val="005C4F1C"/>
    <w:rsid w:val="005D31A6"/>
    <w:rsid w:val="005D4CF6"/>
    <w:rsid w:val="005E58C7"/>
    <w:rsid w:val="00603389"/>
    <w:rsid w:val="00610621"/>
    <w:rsid w:val="006178E4"/>
    <w:rsid w:val="006311E4"/>
    <w:rsid w:val="00636F2E"/>
    <w:rsid w:val="00642C48"/>
    <w:rsid w:val="00647B34"/>
    <w:rsid w:val="00654A3B"/>
    <w:rsid w:val="00657C6A"/>
    <w:rsid w:val="00670647"/>
    <w:rsid w:val="006917BB"/>
    <w:rsid w:val="00694FE1"/>
    <w:rsid w:val="00696E78"/>
    <w:rsid w:val="006A4A0A"/>
    <w:rsid w:val="006A5576"/>
    <w:rsid w:val="006B31BF"/>
    <w:rsid w:val="006C3FE0"/>
    <w:rsid w:val="006D0087"/>
    <w:rsid w:val="006D78CA"/>
    <w:rsid w:val="00705ADB"/>
    <w:rsid w:val="00720994"/>
    <w:rsid w:val="0072460B"/>
    <w:rsid w:val="007272D4"/>
    <w:rsid w:val="0075508D"/>
    <w:rsid w:val="00777FAF"/>
    <w:rsid w:val="00785967"/>
    <w:rsid w:val="007A6D76"/>
    <w:rsid w:val="007B10B2"/>
    <w:rsid w:val="007B2E4D"/>
    <w:rsid w:val="007B5D14"/>
    <w:rsid w:val="007C7B6E"/>
    <w:rsid w:val="007D134B"/>
    <w:rsid w:val="007D5C47"/>
    <w:rsid w:val="007E16CA"/>
    <w:rsid w:val="007F0079"/>
    <w:rsid w:val="007F68C4"/>
    <w:rsid w:val="0080163E"/>
    <w:rsid w:val="00810512"/>
    <w:rsid w:val="00810E14"/>
    <w:rsid w:val="00812974"/>
    <w:rsid w:val="00814EF3"/>
    <w:rsid w:val="008224B6"/>
    <w:rsid w:val="008317D5"/>
    <w:rsid w:val="00837FA5"/>
    <w:rsid w:val="00847E17"/>
    <w:rsid w:val="00866F5C"/>
    <w:rsid w:val="0087062D"/>
    <w:rsid w:val="008B4CDF"/>
    <w:rsid w:val="008C2873"/>
    <w:rsid w:val="008C73E5"/>
    <w:rsid w:val="008D3320"/>
    <w:rsid w:val="008D3638"/>
    <w:rsid w:val="008D5CBC"/>
    <w:rsid w:val="008E0B6A"/>
    <w:rsid w:val="008E6698"/>
    <w:rsid w:val="008F1E52"/>
    <w:rsid w:val="008F2A72"/>
    <w:rsid w:val="00913B7D"/>
    <w:rsid w:val="00934456"/>
    <w:rsid w:val="009352AE"/>
    <w:rsid w:val="00937201"/>
    <w:rsid w:val="00937E3F"/>
    <w:rsid w:val="009426D8"/>
    <w:rsid w:val="009457CF"/>
    <w:rsid w:val="009A16C1"/>
    <w:rsid w:val="009A6E15"/>
    <w:rsid w:val="009A7777"/>
    <w:rsid w:val="009B5250"/>
    <w:rsid w:val="009B77BA"/>
    <w:rsid w:val="009B7E9A"/>
    <w:rsid w:val="009C26AD"/>
    <w:rsid w:val="009C2904"/>
    <w:rsid w:val="009C699C"/>
    <w:rsid w:val="009D1169"/>
    <w:rsid w:val="009F0B69"/>
    <w:rsid w:val="009F7D37"/>
    <w:rsid w:val="00A012E5"/>
    <w:rsid w:val="00A06C9B"/>
    <w:rsid w:val="00A402C8"/>
    <w:rsid w:val="00A70BB2"/>
    <w:rsid w:val="00A731F1"/>
    <w:rsid w:val="00A80D38"/>
    <w:rsid w:val="00A84676"/>
    <w:rsid w:val="00A85A08"/>
    <w:rsid w:val="00A911A9"/>
    <w:rsid w:val="00A91F95"/>
    <w:rsid w:val="00A93C3E"/>
    <w:rsid w:val="00AA77B1"/>
    <w:rsid w:val="00AB0937"/>
    <w:rsid w:val="00AD29E7"/>
    <w:rsid w:val="00AD2CB0"/>
    <w:rsid w:val="00AD5BE5"/>
    <w:rsid w:val="00AE2F6F"/>
    <w:rsid w:val="00AE4401"/>
    <w:rsid w:val="00AE62DD"/>
    <w:rsid w:val="00B02AA1"/>
    <w:rsid w:val="00B12F64"/>
    <w:rsid w:val="00B33430"/>
    <w:rsid w:val="00B45922"/>
    <w:rsid w:val="00B52D53"/>
    <w:rsid w:val="00B5642E"/>
    <w:rsid w:val="00B65DB1"/>
    <w:rsid w:val="00B935AD"/>
    <w:rsid w:val="00B9461B"/>
    <w:rsid w:val="00BA60AC"/>
    <w:rsid w:val="00BB4B32"/>
    <w:rsid w:val="00BB50AE"/>
    <w:rsid w:val="00BC3580"/>
    <w:rsid w:val="00BE061F"/>
    <w:rsid w:val="00BE3E20"/>
    <w:rsid w:val="00BF3ABC"/>
    <w:rsid w:val="00BF7AE7"/>
    <w:rsid w:val="00C20C49"/>
    <w:rsid w:val="00C3552F"/>
    <w:rsid w:val="00C46910"/>
    <w:rsid w:val="00C502F3"/>
    <w:rsid w:val="00C639CA"/>
    <w:rsid w:val="00C76A94"/>
    <w:rsid w:val="00C82639"/>
    <w:rsid w:val="00CA5ADB"/>
    <w:rsid w:val="00CA6B49"/>
    <w:rsid w:val="00CB7BAE"/>
    <w:rsid w:val="00CD5E03"/>
    <w:rsid w:val="00CD6FD4"/>
    <w:rsid w:val="00CE02CA"/>
    <w:rsid w:val="00CE5929"/>
    <w:rsid w:val="00CF3F36"/>
    <w:rsid w:val="00CF6861"/>
    <w:rsid w:val="00D36311"/>
    <w:rsid w:val="00D46F0D"/>
    <w:rsid w:val="00D72E9D"/>
    <w:rsid w:val="00D83018"/>
    <w:rsid w:val="00D91423"/>
    <w:rsid w:val="00DA0453"/>
    <w:rsid w:val="00DA085F"/>
    <w:rsid w:val="00DA3DEA"/>
    <w:rsid w:val="00DA4B7B"/>
    <w:rsid w:val="00DA6D77"/>
    <w:rsid w:val="00DB443A"/>
    <w:rsid w:val="00DC55CB"/>
    <w:rsid w:val="00DC7AAD"/>
    <w:rsid w:val="00DD66B3"/>
    <w:rsid w:val="00DE5160"/>
    <w:rsid w:val="00DE664B"/>
    <w:rsid w:val="00DE752A"/>
    <w:rsid w:val="00DF09B7"/>
    <w:rsid w:val="00DF15C6"/>
    <w:rsid w:val="00DF4F0B"/>
    <w:rsid w:val="00DF5986"/>
    <w:rsid w:val="00DF7D46"/>
    <w:rsid w:val="00E30D3A"/>
    <w:rsid w:val="00E36280"/>
    <w:rsid w:val="00E52232"/>
    <w:rsid w:val="00E52AB4"/>
    <w:rsid w:val="00E63248"/>
    <w:rsid w:val="00E67837"/>
    <w:rsid w:val="00E743BD"/>
    <w:rsid w:val="00E83485"/>
    <w:rsid w:val="00E83AE3"/>
    <w:rsid w:val="00E83E7B"/>
    <w:rsid w:val="00EB3B52"/>
    <w:rsid w:val="00EB56EF"/>
    <w:rsid w:val="00EC21ED"/>
    <w:rsid w:val="00EC7C9B"/>
    <w:rsid w:val="00ED1BE8"/>
    <w:rsid w:val="00ED2E80"/>
    <w:rsid w:val="00EE50B1"/>
    <w:rsid w:val="00EF0AF7"/>
    <w:rsid w:val="00EF33A5"/>
    <w:rsid w:val="00EF7D6A"/>
    <w:rsid w:val="00EF7EAA"/>
    <w:rsid w:val="00F054D9"/>
    <w:rsid w:val="00F157AD"/>
    <w:rsid w:val="00F34E9D"/>
    <w:rsid w:val="00F4061A"/>
    <w:rsid w:val="00F40F26"/>
    <w:rsid w:val="00F42EDA"/>
    <w:rsid w:val="00F45402"/>
    <w:rsid w:val="00F55286"/>
    <w:rsid w:val="00F60007"/>
    <w:rsid w:val="00F66135"/>
    <w:rsid w:val="00F84BCE"/>
    <w:rsid w:val="00F85741"/>
    <w:rsid w:val="00F86FD0"/>
    <w:rsid w:val="00F90F5A"/>
    <w:rsid w:val="00FA1EEE"/>
    <w:rsid w:val="00FE0AEA"/>
    <w:rsid w:val="00FE1EDF"/>
    <w:rsid w:val="00FE7B56"/>
    <w:rsid w:val="00FF2F93"/>
    <w:rsid w:val="00FF53DC"/>
    <w:rsid w:val="00FF695E"/>
    <w:rsid w:val="00FF71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8D5"/>
    <w:pPr>
      <w:overflowPunct w:val="0"/>
      <w:autoSpaceDE w:val="0"/>
      <w:autoSpaceDN w:val="0"/>
      <w:adjustRightInd w:val="0"/>
      <w:spacing w:line="288" w:lineRule="auto"/>
      <w:jc w:val="both"/>
      <w:textAlignment w:val="baseline"/>
    </w:pPr>
    <w:rPr>
      <w:sz w:val="22"/>
    </w:rPr>
  </w:style>
  <w:style w:type="paragraph" w:styleId="Heading1">
    <w:name w:val="heading 1"/>
    <w:basedOn w:val="Normal"/>
    <w:next w:val="Normal"/>
    <w:link w:val="Heading1Char"/>
    <w:qFormat/>
    <w:rsid w:val="001548D5"/>
    <w:pPr>
      <w:numPr>
        <w:numId w:val="1"/>
      </w:numPr>
      <w:ind w:left="720" w:hanging="720"/>
      <w:outlineLvl w:val="0"/>
    </w:pPr>
    <w:rPr>
      <w:kern w:val="28"/>
    </w:rPr>
  </w:style>
  <w:style w:type="paragraph" w:styleId="Heading2">
    <w:name w:val="heading 2"/>
    <w:basedOn w:val="Normal"/>
    <w:next w:val="Normal"/>
    <w:link w:val="Heading2Char"/>
    <w:qFormat/>
    <w:rsid w:val="001548D5"/>
    <w:pPr>
      <w:numPr>
        <w:ilvl w:val="1"/>
        <w:numId w:val="1"/>
      </w:numPr>
      <w:ind w:left="720" w:hanging="720"/>
      <w:outlineLvl w:val="1"/>
    </w:pPr>
  </w:style>
  <w:style w:type="paragraph" w:styleId="Heading3">
    <w:name w:val="heading 3"/>
    <w:basedOn w:val="Normal"/>
    <w:next w:val="Normal"/>
    <w:link w:val="Heading3Char"/>
    <w:qFormat/>
    <w:rsid w:val="001548D5"/>
    <w:pPr>
      <w:numPr>
        <w:ilvl w:val="2"/>
        <w:numId w:val="1"/>
      </w:numPr>
      <w:ind w:left="720" w:hanging="720"/>
      <w:outlineLvl w:val="2"/>
    </w:pPr>
  </w:style>
  <w:style w:type="paragraph" w:styleId="Heading4">
    <w:name w:val="heading 4"/>
    <w:basedOn w:val="Normal"/>
    <w:next w:val="Normal"/>
    <w:link w:val="Heading4Char"/>
    <w:qFormat/>
    <w:rsid w:val="001548D5"/>
    <w:pPr>
      <w:numPr>
        <w:ilvl w:val="3"/>
        <w:numId w:val="1"/>
      </w:numPr>
      <w:ind w:left="720" w:hanging="720"/>
      <w:outlineLvl w:val="3"/>
    </w:pPr>
  </w:style>
  <w:style w:type="paragraph" w:styleId="Heading5">
    <w:name w:val="heading 5"/>
    <w:basedOn w:val="Normal"/>
    <w:next w:val="Normal"/>
    <w:link w:val="Heading5Char"/>
    <w:qFormat/>
    <w:rsid w:val="001548D5"/>
    <w:pPr>
      <w:numPr>
        <w:ilvl w:val="4"/>
        <w:numId w:val="1"/>
      </w:numPr>
      <w:ind w:left="720" w:hanging="720"/>
      <w:outlineLvl w:val="4"/>
    </w:pPr>
  </w:style>
  <w:style w:type="paragraph" w:styleId="Heading6">
    <w:name w:val="heading 6"/>
    <w:basedOn w:val="Normal"/>
    <w:next w:val="Normal"/>
    <w:link w:val="Heading6Char"/>
    <w:qFormat/>
    <w:rsid w:val="001548D5"/>
    <w:pPr>
      <w:numPr>
        <w:ilvl w:val="5"/>
        <w:numId w:val="1"/>
      </w:numPr>
      <w:ind w:left="720" w:hanging="720"/>
      <w:outlineLvl w:val="5"/>
    </w:pPr>
  </w:style>
  <w:style w:type="paragraph" w:styleId="Heading7">
    <w:name w:val="heading 7"/>
    <w:basedOn w:val="Normal"/>
    <w:next w:val="Normal"/>
    <w:link w:val="Heading7Char"/>
    <w:qFormat/>
    <w:rsid w:val="001548D5"/>
    <w:pPr>
      <w:numPr>
        <w:ilvl w:val="6"/>
        <w:numId w:val="1"/>
      </w:numPr>
      <w:ind w:left="720" w:hanging="720"/>
      <w:outlineLvl w:val="6"/>
    </w:pPr>
  </w:style>
  <w:style w:type="paragraph" w:styleId="Heading8">
    <w:name w:val="heading 8"/>
    <w:basedOn w:val="Normal"/>
    <w:next w:val="Normal"/>
    <w:link w:val="Heading8Char"/>
    <w:qFormat/>
    <w:rsid w:val="001548D5"/>
    <w:pPr>
      <w:numPr>
        <w:ilvl w:val="7"/>
        <w:numId w:val="1"/>
      </w:numPr>
      <w:ind w:left="720" w:hanging="720"/>
      <w:outlineLvl w:val="7"/>
    </w:pPr>
  </w:style>
  <w:style w:type="paragraph" w:styleId="Heading9">
    <w:name w:val="heading 9"/>
    <w:basedOn w:val="Normal"/>
    <w:next w:val="Normal"/>
    <w:link w:val="Heading9Char"/>
    <w:qFormat/>
    <w:rsid w:val="001548D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lang w:eastAsia="ro-RO" w:bidi="ro-RO"/>
    </w:rPr>
  </w:style>
  <w:style w:type="character" w:customStyle="1" w:styleId="Heading2Char">
    <w:name w:val="Heading 2 Char"/>
    <w:basedOn w:val="DefaultParagraphFont"/>
    <w:link w:val="Heading2"/>
    <w:rsid w:val="009D66A8"/>
    <w:rPr>
      <w:sz w:val="22"/>
      <w:lang w:eastAsia="ro-RO" w:bidi="ro-RO"/>
    </w:rPr>
  </w:style>
  <w:style w:type="character" w:customStyle="1" w:styleId="Heading3Char">
    <w:name w:val="Heading 3 Char"/>
    <w:basedOn w:val="DefaultParagraphFont"/>
    <w:link w:val="Heading3"/>
    <w:rsid w:val="009D66A8"/>
    <w:rPr>
      <w:sz w:val="22"/>
      <w:lang w:eastAsia="ro-RO" w:bidi="ro-RO"/>
    </w:rPr>
  </w:style>
  <w:style w:type="character" w:customStyle="1" w:styleId="Heading4Char">
    <w:name w:val="Heading 4 Char"/>
    <w:basedOn w:val="DefaultParagraphFont"/>
    <w:link w:val="Heading4"/>
    <w:rsid w:val="009D66A8"/>
    <w:rPr>
      <w:sz w:val="22"/>
      <w:lang w:eastAsia="ro-RO" w:bidi="ro-RO"/>
    </w:rPr>
  </w:style>
  <w:style w:type="character" w:customStyle="1" w:styleId="Heading5Char">
    <w:name w:val="Heading 5 Char"/>
    <w:basedOn w:val="DefaultParagraphFont"/>
    <w:link w:val="Heading5"/>
    <w:rsid w:val="009D66A8"/>
    <w:rPr>
      <w:sz w:val="22"/>
      <w:lang w:eastAsia="ro-RO" w:bidi="ro-RO"/>
    </w:rPr>
  </w:style>
  <w:style w:type="character" w:customStyle="1" w:styleId="Heading6Char">
    <w:name w:val="Heading 6 Char"/>
    <w:basedOn w:val="DefaultParagraphFont"/>
    <w:link w:val="Heading6"/>
    <w:rsid w:val="009D66A8"/>
    <w:rPr>
      <w:sz w:val="22"/>
      <w:lang w:eastAsia="ro-RO" w:bidi="ro-RO"/>
    </w:rPr>
  </w:style>
  <w:style w:type="character" w:customStyle="1" w:styleId="Heading7Char">
    <w:name w:val="Heading 7 Char"/>
    <w:basedOn w:val="DefaultParagraphFont"/>
    <w:link w:val="Heading7"/>
    <w:rsid w:val="009D66A8"/>
    <w:rPr>
      <w:sz w:val="22"/>
      <w:lang w:eastAsia="ro-RO" w:bidi="ro-RO"/>
    </w:rPr>
  </w:style>
  <w:style w:type="character" w:customStyle="1" w:styleId="Heading8Char">
    <w:name w:val="Heading 8 Char"/>
    <w:basedOn w:val="DefaultParagraphFont"/>
    <w:link w:val="Heading8"/>
    <w:rsid w:val="009D66A8"/>
    <w:rPr>
      <w:sz w:val="22"/>
      <w:lang w:eastAsia="ro-RO" w:bidi="ro-RO"/>
    </w:rPr>
  </w:style>
  <w:style w:type="character" w:customStyle="1" w:styleId="Heading9Char">
    <w:name w:val="Heading 9 Char"/>
    <w:basedOn w:val="DefaultParagraphFont"/>
    <w:link w:val="Heading9"/>
    <w:rsid w:val="009D66A8"/>
    <w:rPr>
      <w:sz w:val="22"/>
      <w:lang w:eastAsia="ro-RO" w:bidi="ro-RO"/>
    </w:rPr>
  </w:style>
  <w:style w:type="paragraph" w:styleId="Footer">
    <w:name w:val="footer"/>
    <w:basedOn w:val="Normal"/>
    <w:link w:val="FooterChar"/>
    <w:rsid w:val="001548D5"/>
  </w:style>
  <w:style w:type="character" w:customStyle="1" w:styleId="FooterChar">
    <w:name w:val="Footer Char"/>
    <w:basedOn w:val="DefaultParagraphFont"/>
    <w:link w:val="Footer"/>
    <w:rsid w:val="009D66A8"/>
    <w:rPr>
      <w:sz w:val="22"/>
      <w:lang w:eastAsia="ro-RO" w:bidi="ro-RO"/>
    </w:rPr>
  </w:style>
  <w:style w:type="paragraph" w:styleId="FootnoteText">
    <w:name w:val="footnote text"/>
    <w:basedOn w:val="Normal"/>
    <w:link w:val="FootnoteTextChar"/>
    <w:rsid w:val="001548D5"/>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sz w:val="16"/>
      <w:lang w:eastAsia="ro-RO" w:bidi="ro-RO"/>
    </w:rPr>
  </w:style>
  <w:style w:type="paragraph" w:styleId="Header">
    <w:name w:val="header"/>
    <w:basedOn w:val="Normal"/>
    <w:link w:val="HeaderChar"/>
    <w:rsid w:val="001548D5"/>
  </w:style>
  <w:style w:type="character" w:customStyle="1" w:styleId="HeaderChar">
    <w:name w:val="Header Char"/>
    <w:basedOn w:val="DefaultParagraphFont"/>
    <w:link w:val="Header"/>
    <w:rsid w:val="009D66A8"/>
    <w:rPr>
      <w:sz w:val="22"/>
      <w:lang w:eastAsia="ro-RO" w:bidi="ro-RO"/>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1548D5"/>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8D5"/>
    <w:pPr>
      <w:overflowPunct w:val="0"/>
      <w:autoSpaceDE w:val="0"/>
      <w:autoSpaceDN w:val="0"/>
      <w:adjustRightInd w:val="0"/>
      <w:spacing w:line="288" w:lineRule="auto"/>
      <w:jc w:val="both"/>
      <w:textAlignment w:val="baseline"/>
    </w:pPr>
    <w:rPr>
      <w:sz w:val="22"/>
    </w:rPr>
  </w:style>
  <w:style w:type="paragraph" w:styleId="Heading1">
    <w:name w:val="heading 1"/>
    <w:basedOn w:val="Normal"/>
    <w:next w:val="Normal"/>
    <w:link w:val="Heading1Char"/>
    <w:qFormat/>
    <w:rsid w:val="001548D5"/>
    <w:pPr>
      <w:numPr>
        <w:numId w:val="1"/>
      </w:numPr>
      <w:ind w:left="720" w:hanging="720"/>
      <w:outlineLvl w:val="0"/>
    </w:pPr>
    <w:rPr>
      <w:kern w:val="28"/>
    </w:rPr>
  </w:style>
  <w:style w:type="paragraph" w:styleId="Heading2">
    <w:name w:val="heading 2"/>
    <w:basedOn w:val="Normal"/>
    <w:next w:val="Normal"/>
    <w:link w:val="Heading2Char"/>
    <w:qFormat/>
    <w:rsid w:val="001548D5"/>
    <w:pPr>
      <w:numPr>
        <w:ilvl w:val="1"/>
        <w:numId w:val="1"/>
      </w:numPr>
      <w:ind w:left="720" w:hanging="720"/>
      <w:outlineLvl w:val="1"/>
    </w:pPr>
  </w:style>
  <w:style w:type="paragraph" w:styleId="Heading3">
    <w:name w:val="heading 3"/>
    <w:basedOn w:val="Normal"/>
    <w:next w:val="Normal"/>
    <w:link w:val="Heading3Char"/>
    <w:qFormat/>
    <w:rsid w:val="001548D5"/>
    <w:pPr>
      <w:numPr>
        <w:ilvl w:val="2"/>
        <w:numId w:val="1"/>
      </w:numPr>
      <w:ind w:left="720" w:hanging="720"/>
      <w:outlineLvl w:val="2"/>
    </w:pPr>
  </w:style>
  <w:style w:type="paragraph" w:styleId="Heading4">
    <w:name w:val="heading 4"/>
    <w:basedOn w:val="Normal"/>
    <w:next w:val="Normal"/>
    <w:link w:val="Heading4Char"/>
    <w:qFormat/>
    <w:rsid w:val="001548D5"/>
    <w:pPr>
      <w:numPr>
        <w:ilvl w:val="3"/>
        <w:numId w:val="1"/>
      </w:numPr>
      <w:ind w:left="720" w:hanging="720"/>
      <w:outlineLvl w:val="3"/>
    </w:pPr>
  </w:style>
  <w:style w:type="paragraph" w:styleId="Heading5">
    <w:name w:val="heading 5"/>
    <w:basedOn w:val="Normal"/>
    <w:next w:val="Normal"/>
    <w:link w:val="Heading5Char"/>
    <w:qFormat/>
    <w:rsid w:val="001548D5"/>
    <w:pPr>
      <w:numPr>
        <w:ilvl w:val="4"/>
        <w:numId w:val="1"/>
      </w:numPr>
      <w:ind w:left="720" w:hanging="720"/>
      <w:outlineLvl w:val="4"/>
    </w:pPr>
  </w:style>
  <w:style w:type="paragraph" w:styleId="Heading6">
    <w:name w:val="heading 6"/>
    <w:basedOn w:val="Normal"/>
    <w:next w:val="Normal"/>
    <w:link w:val="Heading6Char"/>
    <w:qFormat/>
    <w:rsid w:val="001548D5"/>
    <w:pPr>
      <w:numPr>
        <w:ilvl w:val="5"/>
        <w:numId w:val="1"/>
      </w:numPr>
      <w:ind w:left="720" w:hanging="720"/>
      <w:outlineLvl w:val="5"/>
    </w:pPr>
  </w:style>
  <w:style w:type="paragraph" w:styleId="Heading7">
    <w:name w:val="heading 7"/>
    <w:basedOn w:val="Normal"/>
    <w:next w:val="Normal"/>
    <w:link w:val="Heading7Char"/>
    <w:qFormat/>
    <w:rsid w:val="001548D5"/>
    <w:pPr>
      <w:numPr>
        <w:ilvl w:val="6"/>
        <w:numId w:val="1"/>
      </w:numPr>
      <w:ind w:left="720" w:hanging="720"/>
      <w:outlineLvl w:val="6"/>
    </w:pPr>
  </w:style>
  <w:style w:type="paragraph" w:styleId="Heading8">
    <w:name w:val="heading 8"/>
    <w:basedOn w:val="Normal"/>
    <w:next w:val="Normal"/>
    <w:link w:val="Heading8Char"/>
    <w:qFormat/>
    <w:rsid w:val="001548D5"/>
    <w:pPr>
      <w:numPr>
        <w:ilvl w:val="7"/>
        <w:numId w:val="1"/>
      </w:numPr>
      <w:ind w:left="720" w:hanging="720"/>
      <w:outlineLvl w:val="7"/>
    </w:pPr>
  </w:style>
  <w:style w:type="paragraph" w:styleId="Heading9">
    <w:name w:val="heading 9"/>
    <w:basedOn w:val="Normal"/>
    <w:next w:val="Normal"/>
    <w:link w:val="Heading9Char"/>
    <w:qFormat/>
    <w:rsid w:val="001548D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lang w:eastAsia="ro-RO" w:bidi="ro-RO"/>
    </w:rPr>
  </w:style>
  <w:style w:type="character" w:customStyle="1" w:styleId="Heading2Char">
    <w:name w:val="Heading 2 Char"/>
    <w:basedOn w:val="DefaultParagraphFont"/>
    <w:link w:val="Heading2"/>
    <w:rsid w:val="009D66A8"/>
    <w:rPr>
      <w:sz w:val="22"/>
      <w:lang w:eastAsia="ro-RO" w:bidi="ro-RO"/>
    </w:rPr>
  </w:style>
  <w:style w:type="character" w:customStyle="1" w:styleId="Heading3Char">
    <w:name w:val="Heading 3 Char"/>
    <w:basedOn w:val="DefaultParagraphFont"/>
    <w:link w:val="Heading3"/>
    <w:rsid w:val="009D66A8"/>
    <w:rPr>
      <w:sz w:val="22"/>
      <w:lang w:eastAsia="ro-RO" w:bidi="ro-RO"/>
    </w:rPr>
  </w:style>
  <w:style w:type="character" w:customStyle="1" w:styleId="Heading4Char">
    <w:name w:val="Heading 4 Char"/>
    <w:basedOn w:val="DefaultParagraphFont"/>
    <w:link w:val="Heading4"/>
    <w:rsid w:val="009D66A8"/>
    <w:rPr>
      <w:sz w:val="22"/>
      <w:lang w:eastAsia="ro-RO" w:bidi="ro-RO"/>
    </w:rPr>
  </w:style>
  <w:style w:type="character" w:customStyle="1" w:styleId="Heading5Char">
    <w:name w:val="Heading 5 Char"/>
    <w:basedOn w:val="DefaultParagraphFont"/>
    <w:link w:val="Heading5"/>
    <w:rsid w:val="009D66A8"/>
    <w:rPr>
      <w:sz w:val="22"/>
      <w:lang w:eastAsia="ro-RO" w:bidi="ro-RO"/>
    </w:rPr>
  </w:style>
  <w:style w:type="character" w:customStyle="1" w:styleId="Heading6Char">
    <w:name w:val="Heading 6 Char"/>
    <w:basedOn w:val="DefaultParagraphFont"/>
    <w:link w:val="Heading6"/>
    <w:rsid w:val="009D66A8"/>
    <w:rPr>
      <w:sz w:val="22"/>
      <w:lang w:eastAsia="ro-RO" w:bidi="ro-RO"/>
    </w:rPr>
  </w:style>
  <w:style w:type="character" w:customStyle="1" w:styleId="Heading7Char">
    <w:name w:val="Heading 7 Char"/>
    <w:basedOn w:val="DefaultParagraphFont"/>
    <w:link w:val="Heading7"/>
    <w:rsid w:val="009D66A8"/>
    <w:rPr>
      <w:sz w:val="22"/>
      <w:lang w:eastAsia="ro-RO" w:bidi="ro-RO"/>
    </w:rPr>
  </w:style>
  <w:style w:type="character" w:customStyle="1" w:styleId="Heading8Char">
    <w:name w:val="Heading 8 Char"/>
    <w:basedOn w:val="DefaultParagraphFont"/>
    <w:link w:val="Heading8"/>
    <w:rsid w:val="009D66A8"/>
    <w:rPr>
      <w:sz w:val="22"/>
      <w:lang w:eastAsia="ro-RO" w:bidi="ro-RO"/>
    </w:rPr>
  </w:style>
  <w:style w:type="character" w:customStyle="1" w:styleId="Heading9Char">
    <w:name w:val="Heading 9 Char"/>
    <w:basedOn w:val="DefaultParagraphFont"/>
    <w:link w:val="Heading9"/>
    <w:rsid w:val="009D66A8"/>
    <w:rPr>
      <w:sz w:val="22"/>
      <w:lang w:eastAsia="ro-RO" w:bidi="ro-RO"/>
    </w:rPr>
  </w:style>
  <w:style w:type="paragraph" w:styleId="Footer">
    <w:name w:val="footer"/>
    <w:basedOn w:val="Normal"/>
    <w:link w:val="FooterChar"/>
    <w:rsid w:val="001548D5"/>
  </w:style>
  <w:style w:type="character" w:customStyle="1" w:styleId="FooterChar">
    <w:name w:val="Footer Char"/>
    <w:basedOn w:val="DefaultParagraphFont"/>
    <w:link w:val="Footer"/>
    <w:rsid w:val="009D66A8"/>
    <w:rPr>
      <w:sz w:val="22"/>
      <w:lang w:eastAsia="ro-RO" w:bidi="ro-RO"/>
    </w:rPr>
  </w:style>
  <w:style w:type="paragraph" w:styleId="FootnoteText">
    <w:name w:val="footnote text"/>
    <w:basedOn w:val="Normal"/>
    <w:link w:val="FootnoteTextChar"/>
    <w:rsid w:val="001548D5"/>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sz w:val="16"/>
      <w:lang w:eastAsia="ro-RO" w:bidi="ro-RO"/>
    </w:rPr>
  </w:style>
  <w:style w:type="paragraph" w:styleId="Header">
    <w:name w:val="header"/>
    <w:basedOn w:val="Normal"/>
    <w:link w:val="HeaderChar"/>
    <w:rsid w:val="001548D5"/>
  </w:style>
  <w:style w:type="character" w:customStyle="1" w:styleId="HeaderChar">
    <w:name w:val="Header Char"/>
    <w:basedOn w:val="DefaultParagraphFont"/>
    <w:link w:val="Header"/>
    <w:rsid w:val="009D66A8"/>
    <w:rPr>
      <w:sz w:val="22"/>
      <w:lang w:eastAsia="ro-RO" w:bidi="ro-RO"/>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1548D5"/>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memportal.cor.europa.eu/"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footer" Target="footer6.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H6KF3DZUJANF-7-7049</_dlc_DocId>
    <_dlc_DocIdUrl xmlns="37f9acf0-bf35-44c8-9f53-e67291d19401">
      <Url>http://dm/CoR/2017/_layouts/DocIdRedir.aspx?ID=H6KF3DZUJANF-7-7049</Url>
      <Description>H6KF3DZUJANF-7-7049</Description>
    </_dlc_DocIdUrl>
    <MeetingNumber xmlns="3e561d35-f829-43b1-a920-d87d2c241fb9">126</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2017-10-23T12:00:00+00:00</ProductionDate>
    <DocumentNumber xmlns="3e561d35-f829-43b1-a920-d87d2c241fb9">3139</DocumentNumber>
    <FicheYear xmlns="37f9acf0-bf35-44c8-9f53-e67291d19401">2017</FicheYear>
    <DocumentVersion xmlns="37f9acf0-bf35-44c8-9f53-e67291d19401">0</DocumentVersion>
    <DossierNumber xmlns="37f9acf0-bf35-44c8-9f53-e67291d19401">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2017-11-30T12:00:00+00:00</MeetingDate>
    <TaxCatchAll xmlns="37f9acf0-bf35-44c8-9f53-e67291d19401">
      <Value>30</Value>
      <Value>41</Value>
      <Value>40</Value>
      <Value>39</Value>
      <Value>38</Value>
      <Value>37</Value>
      <Value>36</Value>
      <Value>35</Value>
      <Value>34</Value>
      <Value>32</Value>
      <Value>31</Value>
      <Value>28</Value>
      <Value>29</Value>
      <Value>71</Value>
      <Value>23</Value>
      <Value>26</Value>
      <Value>25</Value>
      <Value>24</Value>
      <Value>70</Value>
      <Value>21</Value>
      <Value>19</Value>
      <Value>18</Value>
      <Value>15</Value>
      <Value>12</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37f9acf0-bf35-44c8-9f53-e67291d19401">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10372</FicheNumber>
    <DocumentYear xmlns="37f9acf0-bf35-44c8-9f53-e67291d19401">2017</DocumentYear>
    <AdoptionDate xmlns="37f9acf0-bf35-44c8-9f53-e67291d19401" xsi:nil="true"/>
    <DocumentPart xmlns="37f9acf0-bf35-44c8-9f53-e67291d19401">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RequestingService xmlns="37f9acf0-bf35-44c8-9f53-e67291d19401">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4" ma:contentTypeDescription="Defines the documents for Document Manager V2" ma:contentTypeScope="" ma:versionID="98c54254ed078e1d6b2a61394e33d756">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d9e8a5ef7e59398be864f9f662541bdc"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8CC7-46F0-4E92-8359-9DC59C986F36}"/>
</file>

<file path=customXml/itemProps2.xml><?xml version="1.0" encoding="utf-8"?>
<ds:datastoreItem xmlns:ds="http://schemas.openxmlformats.org/officeDocument/2006/customXml" ds:itemID="{72846CA1-4A0B-4E2F-9728-D5B54CF30F69}"/>
</file>

<file path=customXml/itemProps3.xml><?xml version="1.0" encoding="utf-8"?>
<ds:datastoreItem xmlns:ds="http://schemas.openxmlformats.org/officeDocument/2006/customXml" ds:itemID="{86237025-44D5-4895-BCD7-DD316C967FAA}"/>
</file>

<file path=customXml/itemProps4.xml><?xml version="1.0" encoding="utf-8"?>
<ds:datastoreItem xmlns:ds="http://schemas.openxmlformats.org/officeDocument/2006/customXml" ds:itemID="{861736A5-F4F2-45EC-B01F-854ACB755068}"/>
</file>

<file path=customXml/itemProps5.xml><?xml version="1.0" encoding="utf-8"?>
<ds:datastoreItem xmlns:ds="http://schemas.openxmlformats.org/officeDocument/2006/customXml" ds:itemID="{6541EFC8-4BFA-47F6-8D35-5F2A89254BEA}"/>
</file>

<file path=docProps/app.xml><?xml version="1.0" encoding="utf-8"?>
<Properties xmlns="http://schemas.openxmlformats.org/officeDocument/2006/extended-properties" xmlns:vt="http://schemas.openxmlformats.org/officeDocument/2006/docPropsVTypes">
  <Template>Styles.dotm</Template>
  <TotalTime>8</TotalTime>
  <Pages>12</Pages>
  <Words>3700</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Modernising school and higher education</vt:lpstr>
    </vt:vector>
  </TitlesOfParts>
  <Company>CESE-CdR</Company>
  <LinksUpToDate>false</LinksUpToDate>
  <CharactersWithSpaces>26131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Modernizarea învățământului preuniversitar şi a învățământului superior</dc:title>
  <dc:creator>Lisa Holmlund Prutsch</dc:creator>
  <cp:keywords>COR-2017-03139-00-00-PAC-TRA-EN</cp:keywords>
  <dc:description>Rapporteur: BORBOLY - Original language: EN - Date of document: 23/10/2017 - Date of meeting: 30/11/2017 - External documents: COM(2017)248-final - Administrator: M. Hobjila Doru-Iulian</dc:description>
  <cp:lastModifiedBy>Daniela Alexandru</cp:lastModifiedBy>
  <cp:revision>6</cp:revision>
  <cp:lastPrinted>2017-08-29T09:00:00Z</cp:lastPrinted>
  <dcterms:created xsi:type="dcterms:W3CDTF">2017-10-23T07:18:00Z</dcterms:created>
  <dcterms:modified xsi:type="dcterms:W3CDTF">2017-10-23T07:47:00Z</dcterms:modified>
  <cp:category>SEDEC-VI/29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7" name="Pref_formatted">
    <vt:bool>true</vt:bool>
  </property>
  <property fmtid="{D5CDD505-2E9C-101B-9397-08002B2CF9AE}" pid="8" name="Pref_Date">
    <vt:lpwstr>04/10/2017, 04/10/2017, 29/08/2017</vt:lpwstr>
  </property>
  <property fmtid="{D5CDD505-2E9C-101B-9397-08002B2CF9AE}" pid="9" name="Pref_Time">
    <vt:lpwstr>16:42:43, 15:13:03, 15:31:02</vt:lpwstr>
  </property>
  <property fmtid="{D5CDD505-2E9C-101B-9397-08002B2CF9AE}" pid="10" name="Pref_User">
    <vt:lpwstr>jhvi, YMUR, enied</vt:lpwstr>
  </property>
  <property fmtid="{D5CDD505-2E9C-101B-9397-08002B2CF9AE}" pid="11" name="Pref_FileName">
    <vt:lpwstr>COR-2017-03139-00-00-PAC-TRA-EN-CRR.docx, COR-2017-03139-00-00-PAC-CRR-EN.docx, COR-2017-03139-00-00-PA-TRA-HU-CRR.docx</vt:lpwstr>
  </property>
  <property fmtid="{D5CDD505-2E9C-101B-9397-08002B2CF9AE}" pid="12" name="ContentTypeId">
    <vt:lpwstr>0x010100EA97B91038054C99906057A708A1480A00F838E068BD3285428F1243653A167161</vt:lpwstr>
  </property>
  <property fmtid="{D5CDD505-2E9C-101B-9397-08002B2CF9AE}" pid="13" name="_dlc_DocIdItemGuid">
    <vt:lpwstr>09a069dd-242b-4296-bc84-6fa22c23a2ef</vt:lpwstr>
  </property>
  <property fmtid="{D5CDD505-2E9C-101B-9397-08002B2CF9AE}" pid="14" name="MeetingNumber">
    <vt:i4>126</vt:i4>
  </property>
  <property fmtid="{D5CDD505-2E9C-101B-9397-08002B2CF9AE}" pid="15" name="DocumentType_0">
    <vt:lpwstr>PAC|719e5324-e7b4-48f6-9bbb-a2f1f3496a94</vt:lpwstr>
  </property>
  <property fmtid="{D5CDD505-2E9C-101B-9397-08002B2CF9AE}" pid="16" name="AvailableTranslations">
    <vt:lpwstr>29;#HU|6b229040-c589-4408-b4c1-4285663d20a8;#36;#FI|87606a43-d45f-42d6-b8c9-e1a3457db5b7;#24;#EL|6d4f4d51-af9b-4650-94b4-4276bee85c91;#34;#PT|50ccc04a-eadd-42ae-a0cb-acaf45f812ba;#28;#LT|a7ff5ce7-6123-4f68-865a-a57c31810414;#25;#LV|46f7e311-5d9f-4663-b433-18aeccb7ace7;#21;#DE|f6b31e5a-26fa-4935-b661-318e46daf27e;#37;#SK|46d9fce0-ef79-4f71-b89b-cd6aa82426b8;#35;#MT|7df99101-6854-4a26-b53a-b88c0da02c26;#26;#CS|72f9705b-0217-4fd3-bea2-cbc7ed80e26e;#39;#BG|1a1b3951-7821-4e6a-85f5-5673fc08bd2c;#32;#RO|feb747a2-64cd-4299-af12-4833ddc30497;#38;#ES|e7a6b05b-ae16-40c8-add9-68b64b03aeba;#12;#EN|f2175f21-25d7-44a3-96da-d6a61b075e1b;#7;#IT|0774613c-01ed-4e5d-a25d-11d2388de825;#4;#FR|d2afafd3-4c81-4f60-8f52-ee33f2f54ff3;#31;#SL|98a412ae-eb01-49e9-ae3d-585a81724cfc;#15;#SV|c2ed69e7-a339-43d7-8f22-d93680a92aa0;#18;#PL|1e03da61-4678-4e07-b136-b5024ca9197b;#23;#NL|55c6556c-b4f4-441d-9acf-c498d4f838bd;#40;#HR|2f555653-ed1a-4fe6-8362-9082d95989e5;#41;#ET|ff6c3f4c-b02c-4c3c-ab07-2c37995a7a0a;#30;#DA|5d49c027-8956-412b-aa16-e85a0f96ad0e</vt:lpwstr>
  </property>
  <property fmtid="{D5CDD505-2E9C-101B-9397-08002B2CF9AE}" pid="17" name="DossierName_0">
    <vt:lpwstr>SEDEC-VI|f06eb240-9dba-4299-813c-b6d38e9a15c0</vt:lpwstr>
  </property>
  <property fmtid="{D5CDD505-2E9C-101B-9397-08002B2CF9AE}" pid="18" name="DocumentSource_0">
    <vt:lpwstr>CoR|cb2d75ef-4a7d-4393-b797-49ed6298a5ea</vt:lpwstr>
  </property>
  <property fmtid="{D5CDD505-2E9C-101B-9397-08002B2CF9AE}" pid="19" name="FicheYear">
    <vt:i4>2017</vt:i4>
  </property>
  <property fmtid="{D5CDD505-2E9C-101B-9397-08002B2CF9AE}" pid="20" name="DocumentNumber">
    <vt:i4>3139</vt:i4>
  </property>
  <property fmtid="{D5CDD505-2E9C-101B-9397-08002B2CF9AE}" pid="21" name="DocumentVersion">
    <vt:i4>0</vt:i4>
  </property>
  <property fmtid="{D5CDD505-2E9C-101B-9397-08002B2CF9AE}" pid="22" name="DossierNumber">
    <vt:i4>29</vt:i4>
  </property>
  <property fmtid="{D5CDD505-2E9C-101B-9397-08002B2CF9AE}" pid="23" name="DocumentSource">
    <vt:lpwstr>1;#CoR|cb2d75ef-4a7d-4393-b797-49ed6298a5ea</vt:lpwstr>
  </property>
  <property fmtid="{D5CDD505-2E9C-101B-9397-08002B2CF9AE}" pid="25" name="DocumentType">
    <vt:lpwstr>70;#PAC|719e5324-e7b4-48f6-9bbb-a2f1f3496a94</vt:lpwstr>
  </property>
  <property fmtid="{D5CDD505-2E9C-101B-9397-08002B2CF9AE}" pid="26" name="DocumentStatus">
    <vt:lpwstr>2;#TRA|150d2a88-1431-44e6-a8ca-0bb753ab8672</vt:lpwstr>
  </property>
  <property fmtid="{D5CDD505-2E9C-101B-9397-08002B2CF9AE}" pid="27" name="DossierName">
    <vt:lpwstr>19;#SEDEC-VI|f06eb240-9dba-4299-813c-b6d38e9a15c0</vt:lpwstr>
  </property>
  <property fmtid="{D5CDD505-2E9C-101B-9397-08002B2CF9AE}" pid="28" name="DocumentPart">
    <vt:i4>0</vt:i4>
  </property>
  <property fmtid="{D5CDD505-2E9C-101B-9397-08002B2CF9AE}" pid="29" name="RequestingService">
    <vt:lpwstr>Commission SEDEC</vt:lpwstr>
  </property>
  <property fmtid="{D5CDD505-2E9C-101B-9397-08002B2CF9AE}" pid="30" name="Confidentiality">
    <vt:lpwstr>10;#Unrestricted|826e22d7-d029-4ec0-a450-0c28ff673572</vt:lpwstr>
  </property>
  <property fmtid="{D5CDD505-2E9C-101B-9397-08002B2CF9AE}" pid="31" name="Confidentiality_0">
    <vt:lpwstr>Unrestricted|826e22d7-d029-4ec0-a450-0c28ff673572</vt:lpwstr>
  </property>
  <property fmtid="{D5CDD505-2E9C-101B-9397-08002B2CF9AE}" pid="32" name="MeetingName_0">
    <vt:lpwstr>SPL-CDR|8f822234-72c1-4721-9e21-9e3c2bc35462</vt:lpwstr>
  </property>
  <property fmtid="{D5CDD505-2E9C-101B-9397-08002B2CF9AE}" pid="33" name="OriginalLanguage">
    <vt:lpwstr>12;#EN|f2175f21-25d7-44a3-96da-d6a61b075e1b</vt:lpwstr>
  </property>
  <property fmtid="{D5CDD505-2E9C-101B-9397-08002B2CF9AE}" pid="34" name="MeetingName">
    <vt:lpwstr>71;#SPL-CDR|8f822234-72c1-4721-9e21-9e3c2bc35462</vt:lpwstr>
  </property>
  <property fmtid="{D5CDD505-2E9C-101B-9397-08002B2CF9AE}" pid="35" name="DocumentStatus_0">
    <vt:lpwstr>TRA|150d2a88-1431-44e6-a8ca-0bb753ab8672</vt:lpwstr>
  </property>
  <property fmtid="{D5CDD505-2E9C-101B-9397-08002B2CF9AE}" pid="36" name="OriginalLanguage_0">
    <vt:lpwstr>EN|f2175f21-25d7-44a3-96da-d6a61b075e1b</vt:lpwstr>
  </property>
  <property fmtid="{D5CDD505-2E9C-101B-9397-08002B2CF9AE}" pid="37" name="MeetingDate">
    <vt:filetime>2017-11-30T12:00:00Z</vt:filetime>
  </property>
  <property fmtid="{D5CDD505-2E9C-101B-9397-08002B2CF9AE}" pid="38" name="TaxCatchAll">
    <vt:lpwstr>40;#HR|2f555653-ed1a-4fe6-8362-9082d95989e5;#38;#ES|e7a6b05b-ae16-40c8-add9-68b64b03aeba;#37;#SK|46d9fce0-ef79-4f71-b89b-cd6aa82426b8;#35;#MT|7df99101-6854-4a26-b53a-b88c0da02c26;#34;#PT|50ccc04a-eadd-42ae-a0cb-acaf45f812ba;#30;#DA|5d49c027-8956-412b-aa16-e85a0f96ad0e;#71;#SPL-CDR|8f822234-72c1-4721-9e21-9e3c2bc35462;#70;#PAC|719e5324-e7b4-48f6-9bbb-a2f1f3496a94;#24;#EL|6d4f4d51-af9b-4650-94b4-4276bee85c91;#23;#NL|55c6556c-b4f4-441d-9acf-c498d4f838bd;#19;#SEDEC-VI|f06eb240-9dba-4299-813c-b6d38e9a15c0;#12;#EN|f2175f21-25d7-44a3-96da-d6a61b075e1b;#10;#Unrestricted|826e22d7-d029-4ec0-a450-0c28ff673572;#7;#IT|0774613c-01ed-4e5d-a25d-11d2388de825;#6;#Final|ea5e6674-7b27-4bac-b091-73adbb394efe;#4;#FR|d2afafd3-4c81-4f60-8f52-ee33f2f54ff3;#2;#TRA|150d2a88-1431-44e6-a8ca-0bb753ab8672;#1;#CoR|cb2d75ef-4a7d-4393-b797-49ed6298a5ea</vt:lpwstr>
  </property>
  <property fmtid="{D5CDD505-2E9C-101B-9397-08002B2CF9AE}" pid="39" name="AvailableTranslations_0">
    <vt:lpwstr>EL|6d4f4d51-af9b-4650-94b4-4276bee85c91;PT|50ccc04a-eadd-42ae-a0cb-acaf45f812ba;SK|46d9fce0-ef79-4f71-b89b-cd6aa82426b8;MT|7df99101-6854-4a26-b53a-b88c0da02c26;ES|e7a6b05b-ae16-40c8-add9-68b64b03aeba;EN|f2175f21-25d7-44a3-96da-d6a61b075e1b;IT|0774613c-01ed-4e5d-a25d-11d2388de825;FR|d2afafd3-4c81-4f60-8f52-ee33f2f54ff3;NL|55c6556c-b4f4-441d-9acf-c498d4f838bd;HR|2f555653-ed1a-4fe6-8362-9082d95989e5;DA|5d49c027-8956-412b-aa16-e85a0f96ad0e</vt:lpwstr>
  </property>
  <property fmtid="{D5CDD505-2E9C-101B-9397-08002B2CF9AE}" pid="40" name="VersionStatus">
    <vt:lpwstr>6;#Final|ea5e6674-7b27-4bac-b091-73adbb394efe</vt:lpwstr>
  </property>
  <property fmtid="{D5CDD505-2E9C-101B-9397-08002B2CF9AE}" pid="41" name="Rapporteur">
    <vt:lpwstr>BORBOLY</vt:lpwstr>
  </property>
  <property fmtid="{D5CDD505-2E9C-101B-9397-08002B2CF9AE}" pid="42" name="VersionStatus_0">
    <vt:lpwstr>Final|ea5e6674-7b27-4bac-b091-73adbb394efe</vt:lpwstr>
  </property>
  <property fmtid="{D5CDD505-2E9C-101B-9397-08002B2CF9AE}" pid="43" name="FicheNumber">
    <vt:i4>10372</vt:i4>
  </property>
  <property fmtid="{D5CDD505-2E9C-101B-9397-08002B2CF9AE}" pid="44" name="DocumentYear">
    <vt:i4>2017</vt:i4>
  </property>
  <property fmtid="{D5CDD505-2E9C-101B-9397-08002B2CF9AE}" pid="45" name="DocumentLanguage">
    <vt:lpwstr>32;#RO|feb747a2-64cd-4299-af12-4833ddc30497</vt:lpwstr>
  </property>
</Properties>
</file>