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6.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0013768F" w:rsidRPr="00663F32" w14:paraId="24ADCFCA" w14:textId="77777777" w:rsidTr="002420B8">
        <w:tc>
          <w:tcPr>
            <w:tcW w:w="4644" w:type="dxa"/>
          </w:tcPr>
          <w:p w14:paraId="05717E4E" w14:textId="76D9AEAE" w:rsidR="0013768F" w:rsidRPr="00663F32" w:rsidRDefault="00747A29" w:rsidP="002420B8">
            <w:r w:rsidRPr="00663F32">
              <w:rPr>
                <w:sz w:val="20"/>
                <w:lang w:eastAsia="ro-RO"/>
              </w:rPr>
              <mc:AlternateContent>
                <mc:Choice Requires="wps">
                  <w:drawing>
                    <wp:anchor distT="0" distB="0" distL="114300" distR="114300" simplePos="0" relativeHeight="251658240" behindDoc="1" locked="0" layoutInCell="0" allowOverlap="1" wp14:anchorId="1A0CDF6B" wp14:editId="46419460">
                      <wp:simplePos x="0" y="0"/>
                      <wp:positionH relativeFrom="page">
                        <wp:posOffset>6767830</wp:posOffset>
                      </wp:positionH>
                      <wp:positionV relativeFrom="page">
                        <wp:posOffset>10079990</wp:posOffset>
                      </wp:positionV>
                      <wp:extent cx="647700" cy="396240"/>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9DDA5" w14:textId="77777777" w:rsidR="008C107D" w:rsidRPr="00663F32" w:rsidRDefault="008C107D">
                                  <w:pPr>
                                    <w:jc w:val="center"/>
                                    <w:rPr>
                                      <w:rFonts w:ascii="Arial" w:hAnsi="Arial" w:cs="Arial"/>
                                      <w:b/>
                                      <w:bCs/>
                                      <w:sz w:val="48"/>
                                    </w:rPr>
                                  </w:pPr>
                                  <w:r w:rsidRPr="00663F32">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F6B" id="_x0000_t202" coordsize="21600,21600" o:spt="202" path="m,l,21600r21600,l21600,xe">
                      <v:stroke joinstyle="miter"/>
                      <v:path gradientshapeok="t" o:connecttype="rect"/>
                    </v:shapetype>
                    <v:shape id="Text Box 7" o:spid="_x0000_s1026"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LX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5ggLXtQIA&#10;ALgFAAAOAAAAAAAAAAAAAAAAAC4CAABkcnMvZTJvRG9jLnhtbFBLAQItABQABgAIAAAAIQCBA6l8&#10;4QAAAA8BAAAPAAAAAAAAAAAAAAAAAA8FAABkcnMvZG93bnJldi54bWxQSwUGAAAAAAQABADzAAAA&#10;HQYAAAAA&#10;" o:allowincell="f" filled="f" stroked="f">
                      <v:textbox>
                        <w:txbxContent>
                          <w:p w14:paraId="6DE9DDA5" w14:textId="77777777" w:rsidR="008C107D" w:rsidRPr="00663F32" w:rsidRDefault="008C107D">
                            <w:pPr>
                              <w:jc w:val="center"/>
                              <w:rPr>
                                <w:rFonts w:ascii="Arial" w:hAnsi="Arial" w:cs="Arial"/>
                                <w:b/>
                                <w:bCs/>
                                <w:sz w:val="48"/>
                              </w:rPr>
                            </w:pPr>
                            <w:r w:rsidRPr="00663F32">
                              <w:rPr>
                                <w:rFonts w:ascii="Arial" w:hAnsi="Arial"/>
                                <w:b/>
                                <w:bCs/>
                                <w:sz w:val="48"/>
                              </w:rPr>
                              <w:t>RO</w:t>
                            </w:r>
                          </w:p>
                        </w:txbxContent>
                      </v:textbox>
                      <w10:wrap anchorx="page" anchory="page"/>
                    </v:shape>
                  </w:pict>
                </mc:Fallback>
              </mc:AlternateContent>
            </w:r>
            <w:r w:rsidR="00617E66" w:rsidRPr="00663F32">
              <w:rPr>
                <w:lang w:eastAsia="ro-RO"/>
              </w:rPr>
              <w:drawing>
                <wp:inline distT="0" distB="0" distL="0" distR="0" wp14:anchorId="44921A5F" wp14:editId="789E957C">
                  <wp:extent cx="1799590" cy="1558290"/>
                  <wp:effectExtent l="0" t="0" r="0" b="3810"/>
                  <wp:docPr id="1" name="Picture 1" title="CoRLogo_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9590" cy="1558290"/>
                          </a:xfrm>
                          <a:prstGeom prst="rect">
                            <a:avLst/>
                          </a:prstGeom>
                        </pic:spPr>
                      </pic:pic>
                    </a:graphicData>
                  </a:graphic>
                </wp:inline>
              </w:drawing>
            </w:r>
            <w:r w:rsidRPr="00663F32">
              <w:rPr>
                <w:b/>
                <w:bCs/>
                <w:sz w:val="32"/>
                <w:lang w:eastAsia="ro-RO"/>
              </w:rPr>
              <w:drawing>
                <wp:anchor distT="0" distB="0" distL="114300" distR="114300" simplePos="0" relativeHeight="251660288" behindDoc="0" locked="0" layoutInCell="0" allowOverlap="0" wp14:anchorId="00475F59" wp14:editId="706B93C0">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6E072F48" w14:textId="77777777" w:rsidR="0013768F" w:rsidRPr="00663F32" w:rsidRDefault="0013768F" w:rsidP="002420B8"/>
        </w:tc>
      </w:tr>
      <w:tr w:rsidR="00DC6B55" w:rsidRPr="00663F32" w14:paraId="6CDB4673" w14:textId="77777777" w:rsidTr="002420B8">
        <w:tc>
          <w:tcPr>
            <w:tcW w:w="9289" w:type="dxa"/>
            <w:gridSpan w:val="2"/>
          </w:tcPr>
          <w:p w14:paraId="3B093FA4" w14:textId="77777777" w:rsidR="00DC6B55" w:rsidRPr="00663F32" w:rsidRDefault="008D3528" w:rsidP="00CB65B5">
            <w:pPr>
              <w:jc w:val="right"/>
            </w:pPr>
            <w:r w:rsidRPr="00663F32">
              <w:rPr>
                <w:b/>
                <w:bCs/>
                <w:sz w:val="28"/>
                <w:szCs w:val="28"/>
              </w:rPr>
              <w:t>SEDEC-VI/049</w:t>
            </w:r>
          </w:p>
        </w:tc>
      </w:tr>
      <w:tr w:rsidR="00DC6B55" w:rsidRPr="00663F32" w14:paraId="04A5AC82" w14:textId="77777777" w:rsidTr="002420B8">
        <w:tc>
          <w:tcPr>
            <w:tcW w:w="9289" w:type="dxa"/>
            <w:gridSpan w:val="2"/>
          </w:tcPr>
          <w:p w14:paraId="332A9BBF" w14:textId="08CCE29F" w:rsidR="00DC6B55" w:rsidRPr="00663F32" w:rsidRDefault="008D3528" w:rsidP="008D3528">
            <w:pPr>
              <w:jc w:val="center"/>
              <w:rPr>
                <w:b/>
                <w:bCs/>
                <w:sz w:val="28"/>
                <w:szCs w:val="28"/>
              </w:rPr>
            </w:pPr>
            <w:r w:rsidRPr="00663F32">
              <w:rPr>
                <w:b/>
                <w:bCs/>
                <w:sz w:val="28"/>
                <w:szCs w:val="28"/>
              </w:rPr>
              <w:t>A 22-a ședință a Comisiei SEDEC, luni, 18 februarie 2019</w:t>
            </w:r>
          </w:p>
        </w:tc>
      </w:tr>
    </w:tbl>
    <w:p w14:paraId="62D79A97" w14:textId="2927C2C2" w:rsidR="00DC6B55" w:rsidRPr="00663F32" w:rsidRDefault="00DC6B55" w:rsidP="00CB65B5"/>
    <w:p w14:paraId="045288DF" w14:textId="5B89DE9A" w:rsidR="000A6FAC" w:rsidRPr="00663F32" w:rsidRDefault="00663F32" w:rsidP="00CB65B5">
      <w:r>
        <w:rPr>
          <w:noProof/>
          <w:sz w:val="20"/>
          <w:lang w:eastAsia="ro-RO"/>
        </w:rPr>
        <mc:AlternateContent>
          <mc:Choice Requires="wps">
            <w:drawing>
              <wp:anchor distT="0" distB="0" distL="114300" distR="114300" simplePos="0" relativeHeight="251662336" behindDoc="1" locked="0" layoutInCell="0" allowOverlap="1" wp14:anchorId="532D9D26" wp14:editId="17F2A787">
                <wp:simplePos x="0" y="0"/>
                <wp:positionH relativeFrom="page">
                  <wp:posOffset>6769100</wp:posOffset>
                </wp:positionH>
                <wp:positionV relativeFrom="page">
                  <wp:posOffset>10081260</wp:posOffset>
                </wp:positionV>
                <wp:extent cx="647700" cy="396240"/>
                <wp:effectExtent l="0" t="3810" r="3175"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1D23B" w14:textId="77777777" w:rsidR="00663F32" w:rsidRPr="00260E65" w:rsidRDefault="00663F32">
                            <w:pPr>
                              <w:jc w:val="center"/>
                              <w:rPr>
                                <w:rFonts w:ascii="Arial" w:hAnsi="Arial" w:cs="Arial"/>
                                <w:b/>
                                <w:bCs/>
                                <w:sz w:val="48"/>
                                <w:lang w:val="nl-BE"/>
                              </w:rPr>
                            </w:pPr>
                            <w:r>
                              <w:rPr>
                                <w:rFonts w:ascii="Arial" w:hAnsi="Arial" w:cs="Arial"/>
                                <w:b/>
                                <w:bCs/>
                                <w:sz w:val="48"/>
                                <w:lang w:val="nl-BE"/>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9D26" id="Text Box 30" o:spid="_x0000_s1027" type="#_x0000_t202" style="position:absolute;left:0;text-align:left;margin-left:533pt;margin-top:793.8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BYugIAAMA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" o:allowincell="f" filled="f" stroked="f">
                <v:textbox>
                  <w:txbxContent>
                    <w:p w14:paraId="69D1D23B" w14:textId="77777777" w:rsidR="00663F32" w:rsidRPr="00260E65" w:rsidRDefault="00663F32">
                      <w:pPr>
                        <w:jc w:val="center"/>
                        <w:rPr>
                          <w:rFonts w:ascii="Arial" w:hAnsi="Arial" w:cs="Arial"/>
                          <w:b/>
                          <w:bCs/>
                          <w:sz w:val="48"/>
                          <w:lang w:val="nl-BE"/>
                        </w:rPr>
                      </w:pPr>
                      <w:r>
                        <w:rPr>
                          <w:rFonts w:ascii="Arial" w:hAnsi="Arial" w:cs="Arial"/>
                          <w:b/>
                          <w:bCs/>
                          <w:sz w:val="48"/>
                          <w:lang w:val="nl-BE"/>
                        </w:rPr>
                        <w:t>RO</w:t>
                      </w:r>
                    </w:p>
                  </w:txbxContent>
                </v:textbox>
                <w10:wrap anchorx="page" anchory="page"/>
              </v:shape>
            </w:pict>
          </mc:Fallback>
        </mc:AlternateContent>
      </w:r>
    </w:p>
    <w:p w14:paraId="6D5989B5" w14:textId="77777777" w:rsidR="002420B8" w:rsidRPr="00663F32" w:rsidRDefault="001A3BCA" w:rsidP="000A6FAC">
      <w:pPr>
        <w:jc w:val="center"/>
        <w:rPr>
          <w:b/>
          <w:bCs/>
          <w:sz w:val="28"/>
          <w:szCs w:val="28"/>
        </w:rPr>
      </w:pPr>
      <w:r w:rsidRPr="00663F32">
        <w:rPr>
          <w:b/>
          <w:sz w:val="28"/>
          <w:szCs w:val="28"/>
        </w:rPr>
        <w:t>DOCUMENT DE LUCRU</w:t>
      </w:r>
    </w:p>
    <w:p w14:paraId="1F04D586" w14:textId="77777777" w:rsidR="002420B8" w:rsidRPr="00663F32" w:rsidRDefault="002420B8" w:rsidP="002420B8"/>
    <w:p w14:paraId="17803765" w14:textId="1068ED13" w:rsidR="001A3BCA" w:rsidRPr="00663F32" w:rsidRDefault="001A3BCA" w:rsidP="001A3BCA">
      <w:pPr>
        <w:jc w:val="center"/>
        <w:rPr>
          <w:b/>
          <w:bCs/>
          <w:sz w:val="28"/>
          <w:szCs w:val="28"/>
        </w:rPr>
      </w:pPr>
      <w:r w:rsidRPr="00663F32">
        <w:rPr>
          <w:b/>
          <w:bCs/>
          <w:sz w:val="28"/>
          <w:szCs w:val="28"/>
        </w:rPr>
        <w:t>Comisia pentru politica socială, educație, ocuparea forței de muncă, cercetare și cultură</w:t>
      </w:r>
    </w:p>
    <w:p w14:paraId="2CD9DCA2" w14:textId="77777777" w:rsidR="001A3BCA" w:rsidRPr="00663F32" w:rsidRDefault="001A3BCA" w:rsidP="000A6FAC">
      <w:pPr>
        <w:jc w:val="center"/>
        <w:rPr>
          <w:b/>
          <w:bCs/>
          <w:sz w:val="28"/>
          <w:szCs w:val="28"/>
        </w:rPr>
      </w:pPr>
    </w:p>
    <w:p w14:paraId="2A70CFE9" w14:textId="77777777" w:rsidR="001A3BCA" w:rsidRPr="00663F32" w:rsidRDefault="009735B1" w:rsidP="001A3BCA">
      <w:pPr>
        <w:spacing w:line="240" w:lineRule="auto"/>
        <w:jc w:val="center"/>
        <w:rPr>
          <w:b/>
          <w:bCs/>
          <w:sz w:val="28"/>
          <w:szCs w:val="28"/>
        </w:rPr>
      </w:pPr>
      <w:r w:rsidRPr="00663F32">
        <w:rPr>
          <w:b/>
          <w:bCs/>
          <w:sz w:val="28"/>
          <w:szCs w:val="28"/>
        </w:rPr>
        <w:t>Consolidarea educației STI(A)M în UE</w:t>
      </w:r>
    </w:p>
    <w:p w14:paraId="44E4D877" w14:textId="77777777" w:rsidR="00DC6B55" w:rsidRPr="00663F32" w:rsidRDefault="00DC6B55" w:rsidP="000A6FAC">
      <w:pPr>
        <w:jc w:val="center"/>
      </w:pPr>
    </w:p>
    <w:p w14:paraId="1A511743" w14:textId="77777777" w:rsidR="00646BFB" w:rsidRPr="00663F32" w:rsidRDefault="00646BFB" w:rsidP="00CB65B5"/>
    <w:p w14:paraId="33F62A80" w14:textId="77777777" w:rsidR="00E44AE4" w:rsidRPr="00663F32" w:rsidRDefault="00E44AE4" w:rsidP="00CB65B5"/>
    <w:tbl>
      <w:tblPr>
        <w:tblW w:w="0" w:type="auto"/>
        <w:tblLayout w:type="fixed"/>
        <w:tblLook w:val="01E0" w:firstRow="1" w:lastRow="1" w:firstColumn="1" w:lastColumn="1" w:noHBand="0" w:noVBand="0"/>
      </w:tblPr>
      <w:tblGrid>
        <w:gridCol w:w="9289"/>
      </w:tblGrid>
      <w:tr w:rsidR="00DC6B55" w:rsidRPr="00663F32" w14:paraId="1ABB691C" w14:textId="77777777" w:rsidTr="002420B8">
        <w:tc>
          <w:tcPr>
            <w:tcW w:w="9289" w:type="dxa"/>
          </w:tcPr>
          <w:p w14:paraId="05C93D15" w14:textId="77777777" w:rsidR="00DC6B55" w:rsidRPr="00663F32" w:rsidRDefault="00DC6B55" w:rsidP="00CB65B5">
            <w:pPr>
              <w:jc w:val="center"/>
            </w:pPr>
            <w:r w:rsidRPr="00663F32">
              <w:t>_____________</w:t>
            </w:r>
          </w:p>
          <w:p w14:paraId="1438F42C" w14:textId="77777777" w:rsidR="002420B8" w:rsidRPr="00663F32" w:rsidRDefault="002420B8" w:rsidP="00CB65B5">
            <w:pPr>
              <w:jc w:val="center"/>
            </w:pPr>
          </w:p>
          <w:p w14:paraId="67FBEF88" w14:textId="091FE108" w:rsidR="00DC6B55" w:rsidRPr="00663F32" w:rsidRDefault="00DC6B55" w:rsidP="00CB65B5">
            <w:pPr>
              <w:jc w:val="center"/>
              <w:rPr>
                <w:b/>
              </w:rPr>
            </w:pPr>
            <w:r w:rsidRPr="00663F32">
              <w:t xml:space="preserve">Raportor: </w:t>
            </w:r>
            <w:r w:rsidRPr="00663F32">
              <w:rPr>
                <w:b/>
              </w:rPr>
              <w:t>Csaba BORBOLY (RO-PPE)</w:t>
            </w:r>
          </w:p>
          <w:p w14:paraId="47213369" w14:textId="270893E0" w:rsidR="00106E38" w:rsidRPr="00663F32" w:rsidRDefault="00CD4EB3" w:rsidP="00CB65B5">
            <w:pPr>
              <w:jc w:val="center"/>
              <w:rPr>
                <w:bCs/>
              </w:rPr>
            </w:pPr>
            <w:r w:rsidRPr="00663F32">
              <w:t>Președintele Consiliului Județean Harghita</w:t>
            </w:r>
          </w:p>
          <w:p w14:paraId="5FBE1869" w14:textId="77777777" w:rsidR="00DC6B55" w:rsidRPr="00663F32" w:rsidRDefault="00DC6B55" w:rsidP="002420B8">
            <w:pPr>
              <w:jc w:val="center"/>
            </w:pPr>
            <w:r w:rsidRPr="00663F32">
              <w:t>_____________</w:t>
            </w:r>
          </w:p>
        </w:tc>
      </w:tr>
    </w:tbl>
    <w:p w14:paraId="22BC1F68" w14:textId="77777777" w:rsidR="00DC6B55" w:rsidRPr="00663F32" w:rsidRDefault="00DC6B55" w:rsidP="00CB65B5">
      <w:pPr>
        <w:jc w:val="left"/>
      </w:pPr>
    </w:p>
    <w:p w14:paraId="260D9028" w14:textId="77777777" w:rsidR="00DC6B55" w:rsidRPr="00663F32" w:rsidRDefault="00DC6B55" w:rsidP="00CB65B5">
      <w:pPr>
        <w:jc w:val="left"/>
      </w:pPr>
    </w:p>
    <w:p w14:paraId="71600AEC" w14:textId="77777777" w:rsidR="00DC6B55" w:rsidRPr="00663F32" w:rsidRDefault="00DC6B55" w:rsidP="00CB65B5">
      <w:pPr>
        <w:jc w:val="left"/>
      </w:pPr>
    </w:p>
    <w:p w14:paraId="0C8FE903" w14:textId="77777777" w:rsidR="00DC6B55" w:rsidRPr="00663F32" w:rsidRDefault="00DC6B55" w:rsidP="00CB65B5">
      <w:pPr>
        <w:jc w:val="left"/>
      </w:pPr>
    </w:p>
    <w:p w14:paraId="07EAD383" w14:textId="77777777" w:rsidR="00DC6B55" w:rsidRPr="00663F32" w:rsidRDefault="00DC6B55" w:rsidP="00CB65B5">
      <w:pPr>
        <w:jc w:val="left"/>
      </w:pPr>
    </w:p>
    <w:p w14:paraId="56C0FDA3" w14:textId="77777777" w:rsidR="00DC6B55" w:rsidRPr="00663F32" w:rsidRDefault="00DC6B55" w:rsidP="00CB65B5">
      <w:pPr>
        <w:jc w:val="left"/>
      </w:pPr>
    </w:p>
    <w:p w14:paraId="44CF4722" w14:textId="77777777" w:rsidR="00DC6B55" w:rsidRPr="00663F32" w:rsidRDefault="00DC6B55" w:rsidP="00CB65B5">
      <w:pPr>
        <w:jc w:val="left"/>
      </w:pPr>
    </w:p>
    <w:p w14:paraId="5EE8B2ED" w14:textId="77777777" w:rsidR="00DC6B55" w:rsidRPr="00663F32" w:rsidRDefault="00DC6B55" w:rsidP="00CB65B5">
      <w:pPr>
        <w:jc w:val="left"/>
      </w:pPr>
      <w:bookmarkStart w:id="0" w:name="_GoBack"/>
      <w:bookmarkEnd w:id="0"/>
    </w:p>
    <w:p w14:paraId="20250431" w14:textId="77777777" w:rsidR="00106E38" w:rsidRPr="00663F32" w:rsidRDefault="00106E38" w:rsidP="00CB65B5">
      <w:pPr>
        <w:jc w:val="left"/>
      </w:pPr>
    </w:p>
    <w:p w14:paraId="471E9A53" w14:textId="77777777" w:rsidR="00106E38" w:rsidRPr="00663F32" w:rsidRDefault="00106E38" w:rsidP="00CB65B5">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89"/>
      </w:tblGrid>
      <w:tr w:rsidR="00DC6B55" w:rsidRPr="00663F32" w14:paraId="0B023927" w14:textId="77777777" w:rsidTr="002420B8">
        <w:tc>
          <w:tcPr>
            <w:tcW w:w="9289" w:type="dxa"/>
          </w:tcPr>
          <w:p w14:paraId="7C1349C6" w14:textId="016A8F75" w:rsidR="00DC6B55" w:rsidRPr="00663F32" w:rsidRDefault="00497319">
            <w:pPr>
              <w:rPr>
                <w:b/>
                <w:bCs/>
              </w:rPr>
            </w:pPr>
            <w:r w:rsidRPr="00663F32">
              <w:t xml:space="preserve">Prezentul document va fi dezbătut în ședința </w:t>
            </w:r>
            <w:r w:rsidRPr="00663F32">
              <w:rPr>
                <w:b/>
              </w:rPr>
              <w:t>Comisiei pentru politica socială, educație, ocuparea forței de muncă, cercetare și cultură, care va avea loc la 18 februarie 2019, între orele 10:30-14:00</w:t>
            </w:r>
            <w:r w:rsidRPr="00663F32">
              <w:t>.</w:t>
            </w:r>
          </w:p>
        </w:tc>
      </w:tr>
    </w:tbl>
    <w:p w14:paraId="6F574955" w14:textId="77777777" w:rsidR="00DC6B55" w:rsidRPr="00663F32" w:rsidRDefault="00DC6B55" w:rsidP="00CB65B5"/>
    <w:p w14:paraId="02A53C9E" w14:textId="77777777" w:rsidR="00DC6B55" w:rsidRPr="00663F32" w:rsidRDefault="00DC6B55" w:rsidP="00CB65B5"/>
    <w:p w14:paraId="18131AE5" w14:textId="77777777" w:rsidR="00DC6B55" w:rsidRPr="00663F32" w:rsidRDefault="00DC6B55" w:rsidP="00CB65B5">
      <w:pPr>
        <w:tabs>
          <w:tab w:val="left" w:pos="440"/>
        </w:tabs>
        <w:ind w:left="440" w:hanging="440"/>
        <w:sectPr w:rsidR="00DC6B55" w:rsidRPr="00663F32" w:rsidSect="00663F32">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DC6B55" w:rsidRPr="00663F32" w14:paraId="30F67516" w14:textId="77777777" w:rsidTr="002420B8">
        <w:trPr>
          <w:trHeight w:val="12474"/>
        </w:trPr>
        <w:tc>
          <w:tcPr>
            <w:tcW w:w="9289" w:type="dxa"/>
            <w:vAlign w:val="bottom"/>
          </w:tcPr>
          <w:p w14:paraId="2FFB7E17" w14:textId="694FFA53" w:rsidR="00470159" w:rsidRPr="00663F32" w:rsidRDefault="00470159" w:rsidP="00470159">
            <w:pPr>
              <w:rPr>
                <w:u w:val="single"/>
              </w:rPr>
            </w:pPr>
            <w:r w:rsidRPr="00663F32">
              <w:rPr>
                <w:u w:val="single"/>
              </w:rPr>
              <w:lastRenderedPageBreak/>
              <w:t>Document de referință</w:t>
            </w:r>
          </w:p>
          <w:p w14:paraId="5E20F9FE" w14:textId="77777777" w:rsidR="00470159" w:rsidRPr="00663F32" w:rsidRDefault="00470159" w:rsidP="00470159"/>
          <w:p w14:paraId="12B12573" w14:textId="08BA0862" w:rsidR="00DC6B55" w:rsidRPr="00663F32" w:rsidRDefault="00DC6B55" w:rsidP="00CB65B5"/>
        </w:tc>
      </w:tr>
    </w:tbl>
    <w:p w14:paraId="79F68B54" w14:textId="77777777" w:rsidR="00F50160" w:rsidRPr="00663F32" w:rsidRDefault="00B77922" w:rsidP="00F50160">
      <w:pPr>
        <w:spacing w:line="240" w:lineRule="auto"/>
        <w:jc w:val="center"/>
        <w:rPr>
          <w:b/>
        </w:rPr>
      </w:pPr>
      <w:r w:rsidRPr="00663F32">
        <w:br w:type="page"/>
      </w:r>
      <w:r w:rsidRPr="00663F32">
        <w:rPr>
          <w:b/>
        </w:rPr>
        <w:lastRenderedPageBreak/>
        <w:t>Comisia pentru politica socială, educație, ocuparea forței de muncă, cercetare și cultură – Consolidarea educației STI(A)M în UE</w:t>
      </w:r>
    </w:p>
    <w:p w14:paraId="024C1A84" w14:textId="77777777" w:rsidR="00CB65B5" w:rsidRPr="00663F32" w:rsidRDefault="00CB65B5" w:rsidP="00CB65B5">
      <w:pPr>
        <w:jc w:val="center"/>
      </w:pPr>
    </w:p>
    <w:p w14:paraId="3CA1FD50" w14:textId="2B97C3D9" w:rsidR="00CB65B5" w:rsidRPr="00663F32" w:rsidRDefault="00CB65B5" w:rsidP="00CB65B5"/>
    <w:p w14:paraId="78412ACE" w14:textId="16CBBB37" w:rsidR="00CC48CC" w:rsidRPr="00663F32" w:rsidRDefault="00CC48CC" w:rsidP="00CB65B5">
      <w:r w:rsidRPr="00663F32">
        <w:t>CONTEXT</w:t>
      </w:r>
    </w:p>
    <w:p w14:paraId="2D7FCB38" w14:textId="19E61C3E" w:rsidR="00CB65B5" w:rsidRPr="00663F32" w:rsidRDefault="00CC48CC" w:rsidP="00554E02">
      <w:r w:rsidRPr="00663F32">
        <w:t xml:space="preserve">Abordarea coerentă și integrată a educației STIM (științe, tehnologie, inginerie și matematică) și dezvoltarea de aptitudini și competențe conexe sunt răspândite la nivel mondial, la diferite niveluri de învățământ. Această temă capătă importanță deosebită dat fiind faptul că aceste discipline și domenii științifice stau la baza sectoarelor economice cu activitate intensă în domeniul inovării, cum ar fi TIC, robotica, automatizarea, cercetarea și dezvoltarea tehnologică, logistica și diferite activități de inginerie, pentru care se preconizează o creștere economică semnificativă. </w:t>
      </w:r>
    </w:p>
    <w:p w14:paraId="719C1B82" w14:textId="0CD84197" w:rsidR="005C5B8D" w:rsidRPr="00663F32" w:rsidRDefault="005C5B8D" w:rsidP="00554E02"/>
    <w:p w14:paraId="45224AA2" w14:textId="0EE5FADE" w:rsidR="000B5F4A" w:rsidRPr="00663F32" w:rsidRDefault="005C5B8D" w:rsidP="00554E02">
      <w:r w:rsidRPr="00663F32">
        <w:t>În SUA, încă din anii ′40, iar în unele state membre din anii ′70, STIM a fost o componentă a unei abordări integrate, care prevede ca diferitele discipline să fie organizate și predate nu separat, ci în mod coordonat, într-un sistem multidisciplinar. Astfel, STIM a contribuit la dezvoltarea economiei europene bazate pe cunoaștere.</w:t>
      </w:r>
    </w:p>
    <w:p w14:paraId="6FB421B5" w14:textId="6C7E18D5" w:rsidR="000B5F4A" w:rsidRPr="00663F32" w:rsidRDefault="000B5F4A" w:rsidP="00554E02"/>
    <w:p w14:paraId="3C8B9BCA" w14:textId="336EAB10" w:rsidR="000B5F4A" w:rsidRPr="00663F32" w:rsidRDefault="000B5F4A" w:rsidP="00554E02">
      <w:r w:rsidRPr="00663F32">
        <w:t>Conform cercetărilor, numărul de locuri de muncă va crește semnificativ și pe termen mediu în sectoarele legate de STIM, în care șomajul este cel mai redus, practic în to</w:t>
      </w:r>
      <w:r w:rsidR="00663F32">
        <w:t>ate statele membre. Rezultatele </w:t>
      </w:r>
      <w:r w:rsidRPr="00663F32">
        <w:t>STIM la nivel internațional arată că aceste discipline merită luate în considerare nu numai în învățământul superior, ci și la baza învățământului primar – prin lărgirea sferei de competențe elementare, astfel încât toți să aibă acces la cunoștințele de bază în domeniile STIM, inclusiv la alfabetizarea tehnică. Este necesară și dezvoltarea formării profesorilor și a studiilor postuniversitare.</w:t>
      </w:r>
    </w:p>
    <w:p w14:paraId="3A0EF985" w14:textId="77777777" w:rsidR="004A5AF4" w:rsidRPr="00663F32" w:rsidRDefault="004A5AF4" w:rsidP="00554E02"/>
    <w:p w14:paraId="1AA3F611" w14:textId="2CC1C783" w:rsidR="00206770" w:rsidRPr="00663F32" w:rsidRDefault="001E3E82" w:rsidP="00CB65B5">
      <w:r w:rsidRPr="00663F32">
        <w:t>STIM ȘI AUTORITĂȚILE LOCALE ȘI REGIONALE</w:t>
      </w:r>
    </w:p>
    <w:p w14:paraId="605B1494" w14:textId="5F41098D" w:rsidR="00AA017A" w:rsidRPr="00663F32" w:rsidRDefault="001E3E82" w:rsidP="00CB65B5">
      <w:r w:rsidRPr="00663F32">
        <w:t>Elaborarea acestui aviz din proprie inițiativă este justificată prin necesitatea de a analiza, în conformitate cu principiul guvernanței pe mai multe niveluri, în ce fel poate contribui nivelul local și regional la remedierea deficiențelor în ce privește armonizarea între formarea, forța de muncă și locurile de muncă legate de STIM.</w:t>
      </w:r>
    </w:p>
    <w:p w14:paraId="5587897D" w14:textId="4BB276F2" w:rsidR="00B750A2" w:rsidRPr="00663F32" w:rsidRDefault="00B750A2" w:rsidP="00CB65B5"/>
    <w:p w14:paraId="188A0965" w14:textId="2011998A" w:rsidR="00B750A2" w:rsidRPr="00663F32" w:rsidRDefault="00B750A2" w:rsidP="00CB65B5">
      <w:r w:rsidRPr="00663F32">
        <w:t>În perioada 2021-2027 trebuie clarificat care sunt soluțiile și opțiunile educaționale care pot contribui cel mai bine la menținerea unui model economic european bazat pe cunoaștere de succes, favorabil incluziunii și egalității de șanse. În acest sens, rolul autorităților locale și regionale, care finanțează școlile sau susțin rețeaua educațională, este indiscutabil, deoarece ele joacă un rol esențial în mobilizarea fondurilor UE.</w:t>
      </w:r>
    </w:p>
    <w:p w14:paraId="073B2F42" w14:textId="0490A297" w:rsidR="00F56909" w:rsidRPr="00663F32" w:rsidRDefault="00F56909" w:rsidP="00CB65B5"/>
    <w:p w14:paraId="3BBA2364" w14:textId="5BCB414E" w:rsidR="00F56909" w:rsidRPr="00663F32" w:rsidRDefault="00297C1C" w:rsidP="00CB65B5">
      <w:r w:rsidRPr="00663F32">
        <w:t xml:space="preserve">Putem presupune că inițiativele, strategiile, planurile de acțiune și parteneriatele public-privat puse în aplicare la nivel local și regional în domeniile STIM pot avea un rol important în depășirea diferențelor de dezvoltare dintre regiuni. Creșterea semnificativă a numărului de locuri de muncă în sectoarele STIM nu este legată, în multe cazuri, de infrastructuri tradiționale costisitoare, existând, în special în domeniul formării profesionale și educației adulților, o mulțime de posibilități de organizare a unor formări de ciclu scurt sau cursuri specializate cu o durată de câteva luni. Prezența forței de muncă în sectoare STIM este un factor decisiv pentru competitivitatea regională, astfel încât implicarea autorităților locale și regionale poate fi deosebit de eficace. Tocmai de aceea, tratarea cu prioritate a STIM la nivel local și regional, investițiile și inițiativele coordonate destinate dezvoltării pot contribui în mare măsură la </w:t>
      </w:r>
      <w:r w:rsidRPr="00663F32">
        <w:lastRenderedPageBreak/>
        <w:t>reducerea efectelor negative ale exodului creierelor, oferind oportunități reale de carieră forței de muncă din sectoarele STIM.</w:t>
      </w:r>
    </w:p>
    <w:p w14:paraId="23BC25E1" w14:textId="0405FF96" w:rsidR="00081B8A" w:rsidRPr="00663F32" w:rsidRDefault="00081B8A" w:rsidP="00CB65B5"/>
    <w:p w14:paraId="752ABE9C" w14:textId="3D054568" w:rsidR="00081B8A" w:rsidRDefault="00081B8A" w:rsidP="00CB65B5">
      <w:r w:rsidRPr="00663F32">
        <w:t>În ultimele decenii, s-au observat trei deficiențe în materie de STIM:</w:t>
      </w:r>
    </w:p>
    <w:p w14:paraId="0E446A72" w14:textId="77777777" w:rsidR="00663F32" w:rsidRPr="00663F32" w:rsidRDefault="00663F32" w:rsidP="00CB65B5"/>
    <w:p w14:paraId="0E42EED7" w14:textId="5E3C1554" w:rsidR="000B241D" w:rsidRPr="00663F32" w:rsidRDefault="005D4BF6" w:rsidP="00470921">
      <w:pPr>
        <w:pStyle w:val="ListParagraph"/>
        <w:numPr>
          <w:ilvl w:val="0"/>
          <w:numId w:val="26"/>
        </w:numPr>
      </w:pPr>
      <w:r w:rsidRPr="00663F32">
        <w:t>lipsa de profesori pentru disciplinele STIM la toate nivelurile de educație, în întreaga Europă,</w:t>
      </w:r>
    </w:p>
    <w:p w14:paraId="3EB70AD8" w14:textId="1E537935" w:rsidR="00470921" w:rsidRPr="00663F32" w:rsidRDefault="005D4BF6" w:rsidP="00470921">
      <w:pPr>
        <w:pStyle w:val="ListParagraph"/>
        <w:numPr>
          <w:ilvl w:val="0"/>
          <w:numId w:val="26"/>
        </w:numPr>
      </w:pPr>
      <w:r w:rsidRPr="00663F32">
        <w:t>în multe cazuri, interesul elevilor pentru STIM este în scădere,</w:t>
      </w:r>
    </w:p>
    <w:p w14:paraId="65C94953" w14:textId="521DA80B" w:rsidR="005D4BF6" w:rsidRPr="00663F32" w:rsidRDefault="005D4BF6" w:rsidP="00470921">
      <w:pPr>
        <w:pStyle w:val="ListParagraph"/>
        <w:numPr>
          <w:ilvl w:val="0"/>
          <w:numId w:val="26"/>
        </w:numPr>
      </w:pPr>
      <w:r w:rsidRPr="00663F32">
        <w:t>rezultatele produse de sistemele de învățământ nu corespund întotdeauna nevoilor pieței forței de muncă.</w:t>
      </w:r>
    </w:p>
    <w:p w14:paraId="511CF7D7" w14:textId="77777777" w:rsidR="006E48A3" w:rsidRPr="00663F32" w:rsidRDefault="006E48A3" w:rsidP="005D4BF6"/>
    <w:p w14:paraId="4A427035" w14:textId="420B1B52" w:rsidR="005D4BF6" w:rsidRPr="00663F32" w:rsidRDefault="005D4BF6" w:rsidP="005D4BF6">
      <w:r w:rsidRPr="00663F32">
        <w:t>Aceste probleme pot fi soluționate eficient doar printr-o planificare corespunzătoare, parteneriate la nivel local și regional și implicarea angajatorilor. Gestionarea mai adecvată a problemei la nivel local și regional este cu atât mai necesară, cu cât, în prezent, doar nouă state membre au o strategie națională privind STIM.</w:t>
      </w:r>
    </w:p>
    <w:p w14:paraId="1509CE24" w14:textId="419B670B" w:rsidR="005D4BF6" w:rsidRPr="00663F32" w:rsidRDefault="005D4BF6" w:rsidP="005D4BF6"/>
    <w:p w14:paraId="60FC961F" w14:textId="4A4436AD" w:rsidR="00871ADE" w:rsidRDefault="00B75644" w:rsidP="005D4BF6">
      <w:r w:rsidRPr="00663F32">
        <w:t>O serie de posibilități și provocări importante pun în dificultate STIM ca abordare holistică și integrată a învățământului și a formării:</w:t>
      </w:r>
    </w:p>
    <w:p w14:paraId="35F256FA" w14:textId="77777777" w:rsidR="00663F32" w:rsidRPr="00663F32" w:rsidRDefault="00663F32" w:rsidP="005D4BF6"/>
    <w:p w14:paraId="69130A70" w14:textId="1F6E0FF1" w:rsidR="00A4321D" w:rsidRPr="00663F32" w:rsidRDefault="00C25F86" w:rsidP="00A4321D">
      <w:pPr>
        <w:pStyle w:val="ListParagraph"/>
        <w:numPr>
          <w:ilvl w:val="0"/>
          <w:numId w:val="27"/>
        </w:numPr>
      </w:pPr>
      <w:r w:rsidRPr="00663F32">
        <w:t>proporția femeilor este în continuare redusă în aceste cursuri de formare și profesii, există potențial de creștere,</w:t>
      </w:r>
    </w:p>
    <w:p w14:paraId="5C6662D2" w14:textId="44F1C98B" w:rsidR="00A4321D" w:rsidRPr="00663F32" w:rsidRDefault="00A4321D" w:rsidP="00A4321D">
      <w:pPr>
        <w:pStyle w:val="ListParagraph"/>
        <w:numPr>
          <w:ilvl w:val="0"/>
          <w:numId w:val="27"/>
        </w:numPr>
      </w:pPr>
      <w:r w:rsidRPr="00663F32">
        <w:t>formarea și disciplinele universitare legate de STIM pot fi internaționalizate, motiv pentru care pot fi atractive pentru universitățile ambițioase,</w:t>
      </w:r>
    </w:p>
    <w:p w14:paraId="68FBAF2F" w14:textId="4718EEBD" w:rsidR="00DF6C5D" w:rsidRPr="00663F32" w:rsidRDefault="0014621A" w:rsidP="00A4321D">
      <w:pPr>
        <w:pStyle w:val="ListParagraph"/>
        <w:numPr>
          <w:ilvl w:val="0"/>
          <w:numId w:val="27"/>
        </w:numPr>
      </w:pPr>
      <w:r w:rsidRPr="00663F32">
        <w:t>răspândirea formării și educației digitale în domeniile STIM poate înlesni accesul elevilor/studenților din regiunile mai puțin dezvoltate la cunoștințele și calificările adecvate,</w:t>
      </w:r>
    </w:p>
    <w:p w14:paraId="718B8F51" w14:textId="50B15FCA" w:rsidR="00B60672" w:rsidRPr="00663F32" w:rsidRDefault="00AC5DF7" w:rsidP="00B60672">
      <w:pPr>
        <w:pStyle w:val="ListParagraph"/>
        <w:numPr>
          <w:ilvl w:val="0"/>
          <w:numId w:val="27"/>
        </w:numPr>
      </w:pPr>
      <w:r w:rsidRPr="00663F32">
        <w:t>în măsura în care modulele STIM sunt elaborate la nivel local, este posibilă includerea cunoștințelor și tradițiilor locale specifice în oferta educațională; o condiție importantă în acest sens fiind extinderea posibilităților și competențelor autorităților locale și regionale și în acest domeniu,</w:t>
      </w:r>
    </w:p>
    <w:p w14:paraId="441CE898" w14:textId="527C8FD7" w:rsidR="00B60672" w:rsidRPr="00663F32" w:rsidRDefault="00B60672" w:rsidP="00B60672">
      <w:pPr>
        <w:pStyle w:val="ListParagraph"/>
        <w:numPr>
          <w:ilvl w:val="0"/>
          <w:numId w:val="27"/>
        </w:numPr>
      </w:pPr>
      <w:r w:rsidRPr="00663F32">
        <w:t>implicarea organizațiilor profesionale și a camerelor de comerț active și bine integrate la nivel local și regional în planificarea activităților de formare și în procesul de formare sporește eficiența abordării STIM și permite recunoașterea corespunzătoare a valorilor de la nivel local și regional,</w:t>
      </w:r>
    </w:p>
    <w:p w14:paraId="545D3EDD" w14:textId="3F23F088" w:rsidR="00BD3C3B" w:rsidRPr="00663F32" w:rsidRDefault="00144830" w:rsidP="00B60672">
      <w:pPr>
        <w:pStyle w:val="ListParagraph"/>
        <w:numPr>
          <w:ilvl w:val="0"/>
          <w:numId w:val="27"/>
        </w:numPr>
      </w:pPr>
      <w:r w:rsidRPr="00663F32">
        <w:t>noile orientări în domeniile STIM, cum ar fi munca în echipă, dezvoltarea cooperării interprofesionale, răspândirea și sprijinirea sistemelor de stagii, consolidarea educației bazate pe proiecte, includerea studenților defavorizați și cu handicap în procesul de educație și formare pot conferi un rol de pionierat regiunilor, în care oportunitățile oferite de STIM sunt valorificate de actorii inovatori,</w:t>
      </w:r>
    </w:p>
    <w:p w14:paraId="55F2917F" w14:textId="60CF5FC8" w:rsidR="000D6E91" w:rsidRPr="00663F32" w:rsidRDefault="000D6E91" w:rsidP="00B60672">
      <w:pPr>
        <w:pStyle w:val="ListParagraph"/>
        <w:numPr>
          <w:ilvl w:val="0"/>
          <w:numId w:val="27"/>
        </w:numPr>
      </w:pPr>
      <w:r w:rsidRPr="00663F32">
        <w:t>completarea STIM cu elemente creative, artistice și de design poate fi o ocazie de a recurge la tradiții și soluții specifice locale și regionale.</w:t>
      </w:r>
    </w:p>
    <w:p w14:paraId="49AEB3C3" w14:textId="07C01685" w:rsidR="00B01D22" w:rsidRPr="00663F32" w:rsidRDefault="00B01D22" w:rsidP="00CB65B5"/>
    <w:p w14:paraId="1F23B209" w14:textId="09FC384F" w:rsidR="008332D0" w:rsidRPr="00663F32" w:rsidRDefault="008332D0">
      <w:pPr>
        <w:spacing w:line="240" w:lineRule="auto"/>
        <w:jc w:val="left"/>
      </w:pPr>
      <w:r w:rsidRPr="00663F32">
        <w:br w:type="page"/>
      </w:r>
    </w:p>
    <w:p w14:paraId="3771BE2A" w14:textId="77777777" w:rsidR="00DC6B55" w:rsidRPr="00663F32" w:rsidRDefault="00DC6B55" w:rsidP="00CB65B5">
      <w:pPr>
        <w:pStyle w:val="ListParagraph"/>
        <w:numPr>
          <w:ilvl w:val="0"/>
          <w:numId w:val="23"/>
        </w:numPr>
        <w:ind w:left="567" w:hanging="567"/>
      </w:pPr>
      <w:r w:rsidRPr="00663F32">
        <w:rPr>
          <w:b/>
          <w:bCs/>
        </w:rPr>
        <w:lastRenderedPageBreak/>
        <w:t>PROCEDURĂ</w:t>
      </w:r>
    </w:p>
    <w:p w14:paraId="21992242" w14:textId="77777777" w:rsidR="00DC6B55" w:rsidRPr="00663F32" w:rsidRDefault="00DC6B55" w:rsidP="00CB65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5441"/>
      </w:tblGrid>
      <w:tr w:rsidR="00DC6B55" w:rsidRPr="00663F32" w14:paraId="68344790" w14:textId="77777777" w:rsidTr="002420B8">
        <w:tc>
          <w:tcPr>
            <w:tcW w:w="3848" w:type="dxa"/>
            <w:noWrap/>
          </w:tcPr>
          <w:p w14:paraId="0AC3FF05" w14:textId="77777777" w:rsidR="00DC6B55" w:rsidRPr="00663F32" w:rsidRDefault="00DC6B55" w:rsidP="002420B8">
            <w:pPr>
              <w:jc w:val="left"/>
              <w:rPr>
                <w:b/>
                <w:bCs/>
              </w:rPr>
            </w:pPr>
            <w:r w:rsidRPr="00663F32">
              <w:rPr>
                <w:b/>
                <w:bCs/>
              </w:rPr>
              <w:t>Titlu</w:t>
            </w:r>
          </w:p>
          <w:p w14:paraId="1C1B0968" w14:textId="77777777" w:rsidR="00DC6B55" w:rsidRPr="00663F32" w:rsidRDefault="00DC6B55" w:rsidP="002420B8">
            <w:pPr>
              <w:jc w:val="left"/>
            </w:pPr>
          </w:p>
        </w:tc>
        <w:tc>
          <w:tcPr>
            <w:tcW w:w="5441" w:type="dxa"/>
            <w:noWrap/>
          </w:tcPr>
          <w:p w14:paraId="5444A329" w14:textId="77777777" w:rsidR="00DC6B55" w:rsidRPr="00663F32" w:rsidRDefault="00946E1F" w:rsidP="00CB65B5">
            <w:r w:rsidRPr="00663F32">
              <w:t>Consolidarea educației STI(A)M în UE</w:t>
            </w:r>
          </w:p>
        </w:tc>
      </w:tr>
      <w:tr w:rsidR="00934F2F" w:rsidRPr="00663F32" w14:paraId="5413B888" w14:textId="77777777" w:rsidTr="002420B8">
        <w:tc>
          <w:tcPr>
            <w:tcW w:w="3848" w:type="dxa"/>
            <w:noWrap/>
          </w:tcPr>
          <w:p w14:paraId="38AA6031" w14:textId="77777777" w:rsidR="00934F2F" w:rsidRPr="00663F32" w:rsidRDefault="00934F2F" w:rsidP="002420B8">
            <w:pPr>
              <w:jc w:val="left"/>
            </w:pPr>
            <w:r w:rsidRPr="00663F32">
              <w:rPr>
                <w:b/>
                <w:bCs/>
              </w:rPr>
              <w:t>Referință:</w:t>
            </w:r>
          </w:p>
        </w:tc>
        <w:tc>
          <w:tcPr>
            <w:tcW w:w="5441" w:type="dxa"/>
            <w:noWrap/>
          </w:tcPr>
          <w:p w14:paraId="7B38FB75" w14:textId="6C0D3658" w:rsidR="00934F2F" w:rsidRPr="00663F32" w:rsidRDefault="00934F2F" w:rsidP="00E8353A">
            <w:r w:rsidRPr="00663F32">
              <w:t>–</w:t>
            </w:r>
          </w:p>
        </w:tc>
      </w:tr>
      <w:tr w:rsidR="00934F2F" w:rsidRPr="00663F32" w14:paraId="49188026" w14:textId="77777777" w:rsidTr="002420B8">
        <w:tc>
          <w:tcPr>
            <w:tcW w:w="3848" w:type="dxa"/>
            <w:noWrap/>
          </w:tcPr>
          <w:p w14:paraId="139B0B28" w14:textId="77777777" w:rsidR="00934F2F" w:rsidRPr="00663F32" w:rsidRDefault="00934F2F" w:rsidP="002420B8">
            <w:pPr>
              <w:jc w:val="left"/>
            </w:pPr>
            <w:r w:rsidRPr="00663F32">
              <w:rPr>
                <w:b/>
                <w:bCs/>
              </w:rPr>
              <w:t>Temei juridic:</w:t>
            </w:r>
          </w:p>
        </w:tc>
        <w:tc>
          <w:tcPr>
            <w:tcW w:w="5441" w:type="dxa"/>
            <w:noWrap/>
          </w:tcPr>
          <w:p w14:paraId="3E07B787" w14:textId="51EAAC74" w:rsidR="00934F2F" w:rsidRPr="00663F32" w:rsidRDefault="00934F2F" w:rsidP="00CB65B5">
            <w:r w:rsidRPr="00663F32">
              <w:t>articolul 304 din TFUE</w:t>
            </w:r>
          </w:p>
        </w:tc>
      </w:tr>
      <w:tr w:rsidR="00934F2F" w:rsidRPr="00663F32" w14:paraId="6EBCD06E" w14:textId="77777777" w:rsidTr="002420B8">
        <w:tc>
          <w:tcPr>
            <w:tcW w:w="3848" w:type="dxa"/>
            <w:noWrap/>
          </w:tcPr>
          <w:p w14:paraId="4BF8FDEE" w14:textId="77777777" w:rsidR="00934F2F" w:rsidRPr="00663F32" w:rsidRDefault="00934F2F" w:rsidP="002420B8">
            <w:pPr>
              <w:jc w:val="left"/>
            </w:pPr>
            <w:r w:rsidRPr="00663F32">
              <w:rPr>
                <w:b/>
                <w:bCs/>
              </w:rPr>
              <w:t>Bază procedurală:</w:t>
            </w:r>
          </w:p>
        </w:tc>
        <w:tc>
          <w:tcPr>
            <w:tcW w:w="5441" w:type="dxa"/>
            <w:noWrap/>
          </w:tcPr>
          <w:p w14:paraId="2A328248" w14:textId="32E6B9EE" w:rsidR="00934F2F" w:rsidRPr="00663F32" w:rsidRDefault="00934F2F" w:rsidP="00D36988">
            <w:r w:rsidRPr="00663F32">
              <w:t>Aviz din proprie inițiativă [articolul 41 litera (b) punctul (ii) din Regulamentul de procedură]</w:t>
            </w:r>
          </w:p>
        </w:tc>
      </w:tr>
      <w:tr w:rsidR="00934F2F" w:rsidRPr="00663F32" w14:paraId="2587F4C1" w14:textId="77777777" w:rsidTr="002420B8">
        <w:tc>
          <w:tcPr>
            <w:tcW w:w="3848" w:type="dxa"/>
            <w:noWrap/>
          </w:tcPr>
          <w:p w14:paraId="5C9508B7" w14:textId="77777777" w:rsidR="00934F2F" w:rsidRPr="00663F32" w:rsidRDefault="00934F2F" w:rsidP="002420B8">
            <w:pPr>
              <w:jc w:val="left"/>
            </w:pPr>
            <w:r w:rsidRPr="00663F32">
              <w:rPr>
                <w:b/>
                <w:bCs/>
              </w:rPr>
              <w:t>Data sesizării de către Consiliu/Parlamentul European/Data scrisorii Comisiei</w:t>
            </w:r>
          </w:p>
        </w:tc>
        <w:tc>
          <w:tcPr>
            <w:tcW w:w="5441" w:type="dxa"/>
            <w:noWrap/>
          </w:tcPr>
          <w:p w14:paraId="5C7C3EF4" w14:textId="5877A67E" w:rsidR="00934F2F" w:rsidRPr="00663F32" w:rsidRDefault="00934F2F" w:rsidP="00CB65B5">
            <w:r w:rsidRPr="00663F32">
              <w:t>–</w:t>
            </w:r>
          </w:p>
        </w:tc>
      </w:tr>
      <w:tr w:rsidR="00934F2F" w:rsidRPr="00663F32" w14:paraId="7B13E1B5" w14:textId="77777777" w:rsidTr="002420B8">
        <w:tc>
          <w:tcPr>
            <w:tcW w:w="3848" w:type="dxa"/>
            <w:noWrap/>
          </w:tcPr>
          <w:p w14:paraId="6BC548FB" w14:textId="77777777" w:rsidR="00934F2F" w:rsidRPr="00663F32" w:rsidRDefault="00934F2F" w:rsidP="002420B8">
            <w:pPr>
              <w:jc w:val="left"/>
            </w:pPr>
            <w:r w:rsidRPr="00663F32">
              <w:rPr>
                <w:b/>
                <w:bCs/>
              </w:rPr>
              <w:t>Data deciziei președintelui/Biroului:</w:t>
            </w:r>
          </w:p>
        </w:tc>
        <w:tc>
          <w:tcPr>
            <w:tcW w:w="5441" w:type="dxa"/>
            <w:noWrap/>
          </w:tcPr>
          <w:p w14:paraId="0A8DC038" w14:textId="013B111C" w:rsidR="00934F2F" w:rsidRPr="00663F32" w:rsidRDefault="00934F2F" w:rsidP="00CB65B5">
            <w:r w:rsidRPr="00663F32">
              <w:t>4 decembrie 2018</w:t>
            </w:r>
          </w:p>
        </w:tc>
      </w:tr>
      <w:tr w:rsidR="00E8353A" w:rsidRPr="00663F32" w14:paraId="2BA19D36" w14:textId="77777777" w:rsidTr="002420B8">
        <w:tc>
          <w:tcPr>
            <w:tcW w:w="3848" w:type="dxa"/>
            <w:noWrap/>
          </w:tcPr>
          <w:p w14:paraId="44C6D3E4" w14:textId="77777777" w:rsidR="00E8353A" w:rsidRPr="00663F32" w:rsidRDefault="00E8353A" w:rsidP="002420B8">
            <w:pPr>
              <w:jc w:val="left"/>
            </w:pPr>
            <w:r w:rsidRPr="00663F32">
              <w:rPr>
                <w:b/>
                <w:bCs/>
              </w:rPr>
              <w:t>Comisia competentă:</w:t>
            </w:r>
          </w:p>
        </w:tc>
        <w:tc>
          <w:tcPr>
            <w:tcW w:w="5441" w:type="dxa"/>
            <w:noWrap/>
          </w:tcPr>
          <w:p w14:paraId="1ABBA47A" w14:textId="77777777" w:rsidR="00E8353A" w:rsidRPr="00663F32" w:rsidRDefault="00E8353A" w:rsidP="00CB65B5">
            <w:r w:rsidRPr="00663F32">
              <w:t>Comisia pentru politica socială, educație, ocuparea forței de muncă, cercetare și cultură</w:t>
            </w:r>
          </w:p>
        </w:tc>
      </w:tr>
      <w:tr w:rsidR="00E8353A" w:rsidRPr="00663F32" w14:paraId="620C5F4B" w14:textId="77777777" w:rsidTr="002420B8">
        <w:tc>
          <w:tcPr>
            <w:tcW w:w="3848" w:type="dxa"/>
            <w:noWrap/>
          </w:tcPr>
          <w:p w14:paraId="7218DFA1" w14:textId="77777777" w:rsidR="00E8353A" w:rsidRPr="00663F32" w:rsidRDefault="00E8353A" w:rsidP="002420B8">
            <w:pPr>
              <w:jc w:val="left"/>
            </w:pPr>
            <w:r w:rsidRPr="00663F32">
              <w:rPr>
                <w:b/>
                <w:bCs/>
              </w:rPr>
              <w:t>Raportor:</w:t>
            </w:r>
          </w:p>
        </w:tc>
        <w:tc>
          <w:tcPr>
            <w:tcW w:w="5441" w:type="dxa"/>
            <w:noWrap/>
          </w:tcPr>
          <w:p w14:paraId="4C2C7EE1" w14:textId="0A4D61BD" w:rsidR="00E8353A" w:rsidRPr="00663F32" w:rsidRDefault="00567236" w:rsidP="00E8353A">
            <w:r w:rsidRPr="00663F32">
              <w:t>Csaba BORBOLY (RO-PPE)</w:t>
            </w:r>
          </w:p>
        </w:tc>
      </w:tr>
      <w:tr w:rsidR="00934F2F" w:rsidRPr="00663F32" w14:paraId="5786D660" w14:textId="77777777" w:rsidTr="002420B8">
        <w:tc>
          <w:tcPr>
            <w:tcW w:w="3848" w:type="dxa"/>
            <w:noWrap/>
          </w:tcPr>
          <w:p w14:paraId="0FB0AD1F" w14:textId="77777777" w:rsidR="00934F2F" w:rsidRPr="00663F32" w:rsidRDefault="00934F2F" w:rsidP="002420B8">
            <w:pPr>
              <w:jc w:val="left"/>
            </w:pPr>
            <w:r w:rsidRPr="00663F32">
              <w:rPr>
                <w:b/>
                <w:bCs/>
              </w:rPr>
              <w:t>Notă de analiză:</w:t>
            </w:r>
          </w:p>
        </w:tc>
        <w:tc>
          <w:tcPr>
            <w:tcW w:w="5441" w:type="dxa"/>
            <w:noWrap/>
          </w:tcPr>
          <w:p w14:paraId="07EE2ED2" w14:textId="7572EC1D" w:rsidR="00934F2F" w:rsidRPr="00663F32" w:rsidRDefault="00934F2F" w:rsidP="00CB65B5">
            <w:r w:rsidRPr="00663F32">
              <w:t>ianuarie 2019</w:t>
            </w:r>
          </w:p>
        </w:tc>
      </w:tr>
      <w:tr w:rsidR="00934F2F" w:rsidRPr="00663F32" w14:paraId="3B6D25AF" w14:textId="77777777" w:rsidTr="002420B8">
        <w:tc>
          <w:tcPr>
            <w:tcW w:w="3848" w:type="dxa"/>
            <w:noWrap/>
          </w:tcPr>
          <w:p w14:paraId="6ADB0188" w14:textId="77777777" w:rsidR="00934F2F" w:rsidRPr="00663F32" w:rsidRDefault="00934F2F" w:rsidP="002420B8">
            <w:pPr>
              <w:jc w:val="left"/>
            </w:pPr>
            <w:r w:rsidRPr="00663F32">
              <w:rPr>
                <w:b/>
                <w:bCs/>
              </w:rPr>
              <w:t>Examinare în comisie:</w:t>
            </w:r>
          </w:p>
        </w:tc>
        <w:tc>
          <w:tcPr>
            <w:tcW w:w="5441" w:type="dxa"/>
            <w:noWrap/>
          </w:tcPr>
          <w:p w14:paraId="6ED6A462" w14:textId="54D9181C" w:rsidR="00934F2F" w:rsidRPr="00663F32" w:rsidRDefault="00934F2F" w:rsidP="00CB65B5">
            <w:r w:rsidRPr="00663F32">
              <w:t>2 aprilie 2019 (de confirmat)</w:t>
            </w:r>
          </w:p>
        </w:tc>
      </w:tr>
      <w:tr w:rsidR="00934F2F" w:rsidRPr="00663F32" w14:paraId="2782F701" w14:textId="77777777" w:rsidTr="002420B8">
        <w:tc>
          <w:tcPr>
            <w:tcW w:w="3848" w:type="dxa"/>
            <w:noWrap/>
          </w:tcPr>
          <w:p w14:paraId="654B7B92" w14:textId="77777777" w:rsidR="00934F2F" w:rsidRPr="00663F32" w:rsidRDefault="00934F2F" w:rsidP="002420B8">
            <w:pPr>
              <w:jc w:val="left"/>
            </w:pPr>
            <w:r w:rsidRPr="00663F32">
              <w:rPr>
                <w:b/>
                <w:bCs/>
              </w:rPr>
              <w:t>Data adoptării în comisie:</w:t>
            </w:r>
          </w:p>
        </w:tc>
        <w:tc>
          <w:tcPr>
            <w:tcW w:w="5441" w:type="dxa"/>
            <w:noWrap/>
          </w:tcPr>
          <w:p w14:paraId="1BD07771" w14:textId="277EC284" w:rsidR="00934F2F" w:rsidRPr="00663F32" w:rsidRDefault="00934F2F" w:rsidP="00CB65B5">
            <w:r w:rsidRPr="00663F32">
              <w:t>2 aprilie 2019 (de confirmat)</w:t>
            </w:r>
          </w:p>
        </w:tc>
      </w:tr>
      <w:tr w:rsidR="00934F2F" w:rsidRPr="00663F32" w14:paraId="246C8C2E" w14:textId="77777777" w:rsidTr="002420B8">
        <w:tc>
          <w:tcPr>
            <w:tcW w:w="3848" w:type="dxa"/>
            <w:noWrap/>
          </w:tcPr>
          <w:p w14:paraId="664AA9BE" w14:textId="77777777" w:rsidR="00934F2F" w:rsidRPr="00663F32" w:rsidRDefault="00934F2F" w:rsidP="002420B8">
            <w:pPr>
              <w:jc w:val="left"/>
            </w:pPr>
            <w:r w:rsidRPr="00663F32">
              <w:rPr>
                <w:b/>
              </w:rPr>
              <w:t>Rezultatul votului în comisie (majoritate, unanimitate)</w:t>
            </w:r>
          </w:p>
        </w:tc>
        <w:tc>
          <w:tcPr>
            <w:tcW w:w="5441" w:type="dxa"/>
            <w:noWrap/>
          </w:tcPr>
          <w:p w14:paraId="595EC9B2" w14:textId="77777777" w:rsidR="00934F2F" w:rsidRPr="00663F32" w:rsidRDefault="00934F2F" w:rsidP="00CB65B5"/>
        </w:tc>
      </w:tr>
      <w:tr w:rsidR="00934F2F" w:rsidRPr="00663F32" w14:paraId="7E4A8F17" w14:textId="77777777" w:rsidTr="002420B8">
        <w:tc>
          <w:tcPr>
            <w:tcW w:w="3848" w:type="dxa"/>
            <w:noWrap/>
          </w:tcPr>
          <w:p w14:paraId="734A845E" w14:textId="77777777" w:rsidR="00934F2F" w:rsidRPr="00663F32" w:rsidRDefault="00934F2F" w:rsidP="002420B8">
            <w:pPr>
              <w:jc w:val="left"/>
            </w:pPr>
            <w:r w:rsidRPr="00663F32">
              <w:rPr>
                <w:b/>
                <w:bCs/>
              </w:rPr>
              <w:t>Data adoptării în sesiunea plenară:</w:t>
            </w:r>
          </w:p>
        </w:tc>
        <w:tc>
          <w:tcPr>
            <w:tcW w:w="5441" w:type="dxa"/>
            <w:noWrap/>
          </w:tcPr>
          <w:p w14:paraId="0CC50B2E" w14:textId="44F8FB59" w:rsidR="00934F2F" w:rsidRPr="00663F32" w:rsidRDefault="00934F2F" w:rsidP="00CB65B5">
            <w:r w:rsidRPr="00663F32">
              <w:t>prevăzută pentru 26 și 27 iunie 2019</w:t>
            </w:r>
          </w:p>
        </w:tc>
      </w:tr>
      <w:tr w:rsidR="00934F2F" w:rsidRPr="00663F32" w14:paraId="0C239962" w14:textId="77777777" w:rsidTr="002420B8">
        <w:tc>
          <w:tcPr>
            <w:tcW w:w="3848" w:type="dxa"/>
            <w:noWrap/>
          </w:tcPr>
          <w:p w14:paraId="0D606C14" w14:textId="55AB40BD" w:rsidR="00934F2F" w:rsidRPr="00663F32" w:rsidRDefault="00934F2F" w:rsidP="006E48A3">
            <w:pPr>
              <w:jc w:val="left"/>
            </w:pPr>
            <w:r w:rsidRPr="00663F32">
              <w:rPr>
                <w:b/>
                <w:bCs/>
              </w:rPr>
              <w:t>Avize precedente ale Comitetului:</w:t>
            </w:r>
          </w:p>
        </w:tc>
        <w:tc>
          <w:tcPr>
            <w:tcW w:w="5441" w:type="dxa"/>
            <w:noWrap/>
          </w:tcPr>
          <w:p w14:paraId="69EF390C" w14:textId="77777777" w:rsidR="00934F2F" w:rsidRPr="00663F32" w:rsidRDefault="00934F2F" w:rsidP="006E48A3">
            <w:r w:rsidRPr="00663F32">
              <w:t>O Europă mai puternică: rolul politicilor pentru tineret, educație și cultură</w:t>
            </w:r>
            <w:r w:rsidRPr="00663F32">
              <w:rPr>
                <w:rStyle w:val="FootnoteReference"/>
              </w:rPr>
              <w:footnoteReference w:id="1"/>
            </w:r>
          </w:p>
          <w:p w14:paraId="196C7BDF" w14:textId="77777777" w:rsidR="00934F2F" w:rsidRPr="00663F32" w:rsidRDefault="00934F2F" w:rsidP="006E48A3">
            <w:r w:rsidRPr="00663F32">
              <w:t>Consolidarea identității europene prin educație și cultură</w:t>
            </w:r>
            <w:r w:rsidRPr="00663F32">
              <w:rPr>
                <w:rStyle w:val="FootnoteReference"/>
              </w:rPr>
              <w:footnoteReference w:id="2"/>
            </w:r>
          </w:p>
          <w:p w14:paraId="71D8CCCF" w14:textId="77777777" w:rsidR="00934F2F" w:rsidRPr="00663F32" w:rsidRDefault="00934F2F" w:rsidP="006E48A3">
            <w:r w:rsidRPr="00663F32">
              <w:t>Modernizarea învățământului preuniversitar și a învățământului superior</w:t>
            </w:r>
            <w:r w:rsidRPr="00663F32">
              <w:rPr>
                <w:rStyle w:val="FootnoteReference"/>
              </w:rPr>
              <w:footnoteReference w:id="3"/>
            </w:r>
          </w:p>
          <w:p w14:paraId="2536273F" w14:textId="77777777" w:rsidR="00934F2F" w:rsidRPr="00663F32" w:rsidRDefault="00934F2F" w:rsidP="006E48A3">
            <w:r w:rsidRPr="00663F32">
              <w:t>Investiția în tinerii Europei și Corpul european de solidaritate</w:t>
            </w:r>
            <w:r w:rsidRPr="00663F32">
              <w:rPr>
                <w:rStyle w:val="FootnoteReference"/>
              </w:rPr>
              <w:footnoteReference w:id="4"/>
            </w:r>
          </w:p>
          <w:p w14:paraId="298C7414" w14:textId="77777777" w:rsidR="00934F2F" w:rsidRPr="00663F32" w:rsidRDefault="00934F2F" w:rsidP="006E48A3">
            <w:r w:rsidRPr="00663F32">
              <w:t>Noua agendă pentru competențe în Europa</w:t>
            </w:r>
            <w:r w:rsidRPr="00663F32">
              <w:rPr>
                <w:rStyle w:val="FootnoteReference"/>
              </w:rPr>
              <w:footnoteReference w:id="5"/>
            </w:r>
          </w:p>
          <w:p w14:paraId="0C4DF517" w14:textId="77777777" w:rsidR="00934F2F" w:rsidRPr="00663F32" w:rsidRDefault="00934F2F" w:rsidP="006E48A3">
            <w:pPr>
              <w:rPr>
                <w:rFonts w:eastAsia="PMingLiU"/>
              </w:rPr>
            </w:pPr>
            <w:r w:rsidRPr="00663F32">
              <w:t>Recunoașterea abilităților și competențelor dobândite în cadrul învățării non-formale și informale</w:t>
            </w:r>
            <w:r w:rsidRPr="00663F32">
              <w:rPr>
                <w:rStyle w:val="FootnoteReference"/>
                <w:rFonts w:eastAsia="PMingLiU"/>
              </w:rPr>
              <w:footnoteReference w:id="6"/>
            </w:r>
          </w:p>
          <w:p w14:paraId="25C03452" w14:textId="77777777" w:rsidR="00934F2F" w:rsidRPr="00663F32" w:rsidRDefault="00934F2F" w:rsidP="006E48A3">
            <w:pPr>
              <w:rPr>
                <w:rFonts w:eastAsia="PMingLiU"/>
              </w:rPr>
            </w:pPr>
            <w:r w:rsidRPr="00663F32">
              <w:t>Deschiderea educației</w:t>
            </w:r>
            <w:r w:rsidRPr="00663F32">
              <w:rPr>
                <w:rStyle w:val="FootnoteReference"/>
                <w:rFonts w:eastAsia="PMingLiU"/>
              </w:rPr>
              <w:footnoteReference w:id="7"/>
            </w:r>
          </w:p>
          <w:p w14:paraId="59A3F3C5" w14:textId="77777777" w:rsidR="00934F2F" w:rsidRPr="00663F32" w:rsidRDefault="00934F2F" w:rsidP="006E48A3">
            <w:pPr>
              <w:rPr>
                <w:rFonts w:eastAsia="PMingLiU"/>
              </w:rPr>
            </w:pPr>
            <w:r w:rsidRPr="00663F32">
              <w:t>Învățământul superior european în lume</w:t>
            </w:r>
            <w:r w:rsidRPr="00663F32">
              <w:rPr>
                <w:rStyle w:val="FootnoteReference"/>
                <w:rFonts w:eastAsia="PMingLiU"/>
              </w:rPr>
              <w:footnoteReference w:id="8"/>
            </w:r>
          </w:p>
          <w:p w14:paraId="01CBBF70" w14:textId="77777777" w:rsidR="00934F2F" w:rsidRPr="00663F32" w:rsidRDefault="00934F2F" w:rsidP="006E48A3">
            <w:pPr>
              <w:rPr>
                <w:rFonts w:eastAsia="PMingLiU"/>
              </w:rPr>
            </w:pPr>
            <w:r w:rsidRPr="00663F32">
              <w:lastRenderedPageBreak/>
              <w:t>Regândirea educației</w:t>
            </w:r>
            <w:r w:rsidRPr="00663F32">
              <w:rPr>
                <w:rStyle w:val="FootnoteReference"/>
                <w:rFonts w:eastAsia="PMingLiU"/>
              </w:rPr>
              <w:footnoteReference w:id="9"/>
            </w:r>
          </w:p>
          <w:p w14:paraId="007BCA43" w14:textId="77777777" w:rsidR="00934F2F" w:rsidRPr="00663F32" w:rsidRDefault="00934F2F" w:rsidP="006E48A3">
            <w:pPr>
              <w:rPr>
                <w:rFonts w:eastAsia="PMingLiU"/>
              </w:rPr>
            </w:pPr>
            <w:r w:rsidRPr="00663F32">
              <w:t>Erasmus pentru toți</w:t>
            </w:r>
            <w:r w:rsidRPr="00663F32">
              <w:rPr>
                <w:rStyle w:val="FootnoteReference"/>
                <w:rFonts w:eastAsia="PMingLiU"/>
              </w:rPr>
              <w:footnoteReference w:id="10"/>
            </w:r>
          </w:p>
          <w:p w14:paraId="471F0585" w14:textId="280B2404" w:rsidR="00934F2F" w:rsidRPr="00663F32" w:rsidRDefault="00934F2F" w:rsidP="006E48A3">
            <w:r w:rsidRPr="00663F32">
              <w:t>Promovarea cetățeniei active în rândul tinerilor prin intermediul educației</w:t>
            </w:r>
            <w:r w:rsidRPr="00663F32">
              <w:rPr>
                <w:rStyle w:val="FootnoteReference"/>
                <w:rFonts w:eastAsia="PMingLiU"/>
              </w:rPr>
              <w:footnoteReference w:id="11"/>
            </w:r>
          </w:p>
        </w:tc>
      </w:tr>
      <w:tr w:rsidR="00934F2F" w:rsidRPr="00663F32" w14:paraId="086369FE" w14:textId="77777777" w:rsidTr="002420B8">
        <w:tc>
          <w:tcPr>
            <w:tcW w:w="3848" w:type="dxa"/>
            <w:noWrap/>
          </w:tcPr>
          <w:p w14:paraId="4CC004D1" w14:textId="77777777" w:rsidR="00934F2F" w:rsidRPr="00663F32" w:rsidRDefault="00934F2F" w:rsidP="002420B8">
            <w:pPr>
              <w:jc w:val="left"/>
              <w:rPr>
                <w:b/>
                <w:bCs/>
              </w:rPr>
            </w:pPr>
            <w:r w:rsidRPr="00663F32">
              <w:rPr>
                <w:b/>
              </w:rPr>
              <w:lastRenderedPageBreak/>
              <w:t>Data consultării Rețelei de monitorizare a subsidiarității:</w:t>
            </w:r>
          </w:p>
        </w:tc>
        <w:tc>
          <w:tcPr>
            <w:tcW w:w="5441" w:type="dxa"/>
            <w:noWrap/>
          </w:tcPr>
          <w:p w14:paraId="7D8592F3" w14:textId="302D4CC7" w:rsidR="00934F2F" w:rsidRPr="00663F32" w:rsidRDefault="00934F2F" w:rsidP="00CB65B5">
            <w:r w:rsidRPr="00663F32">
              <w:t xml:space="preserve">– </w:t>
            </w:r>
          </w:p>
        </w:tc>
      </w:tr>
    </w:tbl>
    <w:p w14:paraId="68E5F689" w14:textId="77777777" w:rsidR="00DC6B55" w:rsidRPr="00663F32" w:rsidRDefault="00DC6B55" w:rsidP="00CB65B5"/>
    <w:p w14:paraId="592FC7A0" w14:textId="77777777" w:rsidR="00DC6B55" w:rsidRPr="00663F32" w:rsidRDefault="00DC6B55" w:rsidP="00CB65B5">
      <w:pPr>
        <w:jc w:val="center"/>
      </w:pPr>
      <w:r w:rsidRPr="00663F32">
        <w:t>_____________</w:t>
      </w:r>
    </w:p>
    <w:sectPr w:rsidR="00DC6B55" w:rsidRPr="00663F32" w:rsidSect="00663F32">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DD3E" w14:textId="77777777" w:rsidR="004B2357" w:rsidRDefault="004B2357">
      <w:r>
        <w:separator/>
      </w:r>
    </w:p>
  </w:endnote>
  <w:endnote w:type="continuationSeparator" w:id="0">
    <w:p w14:paraId="5245C85A" w14:textId="77777777" w:rsidR="004B2357" w:rsidRDefault="004B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21D2" w14:textId="77777777" w:rsidR="00663F32" w:rsidRPr="00663F32" w:rsidRDefault="00663F32" w:rsidP="0066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F131" w14:textId="33F1E47D" w:rsidR="002420B8" w:rsidRPr="00663F32" w:rsidRDefault="00663F32" w:rsidP="00663F32">
    <w:pPr>
      <w:pStyle w:val="Footer"/>
    </w:pPr>
    <w:r>
      <w:t xml:space="preserve">COR-2018-06435-00-01-DT-TRA (EN/HU) </w:t>
    </w:r>
    <w:r>
      <w:fldChar w:fldCharType="begin"/>
    </w:r>
    <w:r>
      <w:instrText xml:space="preserve"> PAGE  \* Arabic  \* MERGEFORMAT </w:instrText>
    </w:r>
    <w:r>
      <w:fldChar w:fldCharType="separate"/>
    </w:r>
    <w:r w:rsidR="00451BDB">
      <w:rPr>
        <w:noProof/>
      </w:rPr>
      <w:t>1</w:t>
    </w:r>
    <w:r>
      <w:fldChar w:fldCharType="end"/>
    </w:r>
    <w:r>
      <w:t>/</w:t>
    </w:r>
    <w:r>
      <w:fldChar w:fldCharType="begin"/>
    </w:r>
    <w:r>
      <w:instrText xml:space="preserve"> = </w:instrText>
    </w:r>
    <w:fldSimple w:instr=" NUMPAGES ">
      <w:r w:rsidR="00451BDB">
        <w:rPr>
          <w:noProof/>
        </w:rPr>
        <w:instrText>6</w:instrText>
      </w:r>
    </w:fldSimple>
    <w:r>
      <w:instrText xml:space="preserve"> -0 </w:instrText>
    </w:r>
    <w:r>
      <w:fldChar w:fldCharType="separate"/>
    </w:r>
    <w:r w:rsidR="00451BDB">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A78B" w14:textId="77777777" w:rsidR="00663F32" w:rsidRPr="00663F32" w:rsidRDefault="00663F32" w:rsidP="00663F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5599" w14:textId="77777777" w:rsidR="00A2443B" w:rsidRPr="00663F32" w:rsidRDefault="00A2443B" w:rsidP="00663F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26DA" w14:textId="42204E5F" w:rsidR="00A2443B" w:rsidRPr="00663F32" w:rsidRDefault="00663F32" w:rsidP="00663F32">
    <w:pPr>
      <w:pStyle w:val="Footer"/>
    </w:pPr>
    <w:r>
      <w:t xml:space="preserve">COR-2018-06435-00-01-DT-TRA (EN/HU) </w:t>
    </w:r>
    <w:r>
      <w:fldChar w:fldCharType="begin"/>
    </w:r>
    <w:r>
      <w:instrText xml:space="preserve"> PAGE  \* Arabic  \* MERGEFORMAT </w:instrText>
    </w:r>
    <w:r>
      <w:fldChar w:fldCharType="separate"/>
    </w:r>
    <w:r w:rsidR="00451BDB">
      <w:rPr>
        <w:noProof/>
      </w:rPr>
      <w:t>6</w:t>
    </w:r>
    <w:r>
      <w:fldChar w:fldCharType="end"/>
    </w:r>
    <w:r>
      <w:t>/</w:t>
    </w:r>
    <w:r>
      <w:fldChar w:fldCharType="begin"/>
    </w:r>
    <w:r>
      <w:instrText xml:space="preserve"> = </w:instrText>
    </w:r>
    <w:fldSimple w:instr=" NUMPAGES ">
      <w:r w:rsidR="00451BDB">
        <w:rPr>
          <w:noProof/>
        </w:rPr>
        <w:instrText>6</w:instrText>
      </w:r>
    </w:fldSimple>
    <w:r>
      <w:instrText xml:space="preserve"> -0 </w:instrText>
    </w:r>
    <w:r>
      <w:fldChar w:fldCharType="separate"/>
    </w:r>
    <w:r w:rsidR="00451BDB">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2FB6" w14:textId="77777777" w:rsidR="00A2443B" w:rsidRPr="00663F32" w:rsidRDefault="00A2443B" w:rsidP="0066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D5CFC" w14:textId="77777777" w:rsidR="004B2357" w:rsidRDefault="004B2357">
      <w:r>
        <w:separator/>
      </w:r>
    </w:p>
  </w:footnote>
  <w:footnote w:type="continuationSeparator" w:id="0">
    <w:p w14:paraId="56181A37" w14:textId="77777777" w:rsidR="004B2357" w:rsidRDefault="004B2357">
      <w:r>
        <w:continuationSeparator/>
      </w:r>
    </w:p>
  </w:footnote>
  <w:footnote w:id="1">
    <w:p w14:paraId="4E71765A" w14:textId="77777777" w:rsidR="00934F2F" w:rsidRPr="00663F32" w:rsidRDefault="00934F2F">
      <w:pPr>
        <w:pStyle w:val="FootnoteText"/>
        <w:rPr>
          <w:szCs w:val="16"/>
        </w:rPr>
      </w:pPr>
      <w:r w:rsidRPr="00663F32">
        <w:rPr>
          <w:rStyle w:val="FootnoteReference"/>
          <w:szCs w:val="16"/>
        </w:rPr>
        <w:footnoteRef/>
      </w:r>
      <w:r w:rsidRPr="00663F32">
        <w:t xml:space="preserve"> </w:t>
      </w:r>
      <w:r w:rsidRPr="00663F32">
        <w:tab/>
        <w:t>COR 03952/2018</w:t>
      </w:r>
    </w:p>
  </w:footnote>
  <w:footnote w:id="2">
    <w:p w14:paraId="71D63DAC" w14:textId="77777777" w:rsidR="00934F2F" w:rsidRPr="00663F32" w:rsidRDefault="00934F2F">
      <w:pPr>
        <w:pStyle w:val="FootnoteText"/>
        <w:rPr>
          <w:szCs w:val="16"/>
        </w:rPr>
      </w:pPr>
      <w:r w:rsidRPr="00663F32">
        <w:rPr>
          <w:rStyle w:val="FootnoteReference"/>
          <w:szCs w:val="16"/>
        </w:rPr>
        <w:footnoteRef/>
      </w:r>
      <w:r w:rsidRPr="00663F32">
        <w:t xml:space="preserve"> </w:t>
      </w:r>
      <w:r w:rsidRPr="00663F32">
        <w:tab/>
      </w:r>
      <w:r w:rsidRPr="00663F32">
        <w:t>COR 6048/2017</w:t>
      </w:r>
    </w:p>
  </w:footnote>
  <w:footnote w:id="3">
    <w:p w14:paraId="4308EDAA" w14:textId="77777777" w:rsidR="00934F2F" w:rsidRPr="00663F32" w:rsidRDefault="00934F2F">
      <w:pPr>
        <w:pStyle w:val="FootnoteText"/>
        <w:rPr>
          <w:szCs w:val="16"/>
        </w:rPr>
      </w:pPr>
      <w:r w:rsidRPr="00663F32">
        <w:rPr>
          <w:rStyle w:val="FootnoteReference"/>
          <w:szCs w:val="16"/>
        </w:rPr>
        <w:footnoteRef/>
      </w:r>
      <w:r w:rsidRPr="00663F32">
        <w:t xml:space="preserve"> </w:t>
      </w:r>
      <w:r w:rsidRPr="00663F32">
        <w:tab/>
      </w:r>
      <w:r w:rsidRPr="00663F32">
        <w:t>COR 3139/2017</w:t>
      </w:r>
    </w:p>
  </w:footnote>
  <w:footnote w:id="4">
    <w:p w14:paraId="4892681A" w14:textId="77777777" w:rsidR="00934F2F" w:rsidRPr="00663F32" w:rsidRDefault="00934F2F">
      <w:pPr>
        <w:pStyle w:val="FootnoteText"/>
        <w:rPr>
          <w:szCs w:val="16"/>
        </w:rPr>
      </w:pPr>
      <w:r w:rsidRPr="00663F32">
        <w:rPr>
          <w:rStyle w:val="FootnoteReference"/>
          <w:szCs w:val="16"/>
        </w:rPr>
        <w:footnoteRef/>
      </w:r>
      <w:r w:rsidRPr="00663F32">
        <w:t xml:space="preserve"> </w:t>
      </w:r>
      <w:r w:rsidRPr="00663F32">
        <w:tab/>
      </w:r>
      <w:r w:rsidRPr="00663F32">
        <w:t>COR 851/2017</w:t>
      </w:r>
    </w:p>
  </w:footnote>
  <w:footnote w:id="5">
    <w:p w14:paraId="33B08304" w14:textId="77777777" w:rsidR="00934F2F" w:rsidRPr="00663F32" w:rsidRDefault="00934F2F">
      <w:pPr>
        <w:pStyle w:val="FootnoteText"/>
        <w:rPr>
          <w:szCs w:val="16"/>
        </w:rPr>
      </w:pPr>
      <w:r w:rsidRPr="00663F32">
        <w:rPr>
          <w:rStyle w:val="FootnoteReference"/>
          <w:szCs w:val="16"/>
        </w:rPr>
        <w:footnoteRef/>
      </w:r>
      <w:r w:rsidRPr="00663F32">
        <w:t xml:space="preserve"> </w:t>
      </w:r>
      <w:r w:rsidRPr="00663F32">
        <w:tab/>
      </w:r>
      <w:r w:rsidRPr="00663F32">
        <w:t>COR 4094/2016</w:t>
      </w:r>
    </w:p>
  </w:footnote>
  <w:footnote w:id="6">
    <w:p w14:paraId="159EF491" w14:textId="77777777" w:rsidR="00934F2F" w:rsidRPr="00663F32" w:rsidRDefault="00934F2F" w:rsidP="001D4FF4">
      <w:pPr>
        <w:pStyle w:val="FootnoteText"/>
        <w:rPr>
          <w:szCs w:val="16"/>
        </w:rPr>
      </w:pPr>
      <w:r w:rsidRPr="00663F32">
        <w:rPr>
          <w:rStyle w:val="FootnoteReference"/>
          <w:szCs w:val="16"/>
        </w:rPr>
        <w:footnoteRef/>
      </w:r>
      <w:r w:rsidRPr="00663F32">
        <w:t xml:space="preserve"> </w:t>
      </w:r>
      <w:r w:rsidRPr="00663F32">
        <w:tab/>
      </w:r>
      <w:r w:rsidRPr="00663F32">
        <w:t>COR 3921/2014</w:t>
      </w:r>
    </w:p>
  </w:footnote>
  <w:footnote w:id="7">
    <w:p w14:paraId="0E19166D" w14:textId="77777777" w:rsidR="00934F2F" w:rsidRPr="00663F32" w:rsidRDefault="00934F2F" w:rsidP="001D4FF4">
      <w:pPr>
        <w:pStyle w:val="FootnoteText"/>
        <w:rPr>
          <w:szCs w:val="16"/>
        </w:rPr>
      </w:pPr>
      <w:r w:rsidRPr="00663F32">
        <w:rPr>
          <w:rStyle w:val="FootnoteReference"/>
          <w:szCs w:val="16"/>
        </w:rPr>
        <w:footnoteRef/>
      </w:r>
      <w:r w:rsidRPr="00663F32">
        <w:t xml:space="preserve"> </w:t>
      </w:r>
      <w:r w:rsidRPr="00663F32">
        <w:tab/>
      </w:r>
      <w:r w:rsidRPr="00663F32">
        <w:t xml:space="preserve">COR 6183/2013 </w:t>
      </w:r>
    </w:p>
  </w:footnote>
  <w:footnote w:id="8">
    <w:p w14:paraId="737E0C77" w14:textId="77777777" w:rsidR="00934F2F" w:rsidRPr="00663F32" w:rsidRDefault="00934F2F" w:rsidP="001D4FF4">
      <w:pPr>
        <w:pStyle w:val="FootnoteText"/>
        <w:rPr>
          <w:szCs w:val="16"/>
        </w:rPr>
      </w:pPr>
      <w:r w:rsidRPr="00663F32">
        <w:rPr>
          <w:rStyle w:val="FootnoteReference"/>
          <w:szCs w:val="16"/>
        </w:rPr>
        <w:footnoteRef/>
      </w:r>
      <w:r w:rsidRPr="00663F32">
        <w:t xml:space="preserve"> </w:t>
      </w:r>
      <w:r w:rsidRPr="00663F32">
        <w:tab/>
      </w:r>
      <w:r w:rsidRPr="00663F32">
        <w:t xml:space="preserve">CDR 5961/2013 </w:t>
      </w:r>
    </w:p>
  </w:footnote>
  <w:footnote w:id="9">
    <w:p w14:paraId="45B12C43" w14:textId="77777777" w:rsidR="00934F2F" w:rsidRPr="00663F32" w:rsidRDefault="00934F2F" w:rsidP="001D4FF4">
      <w:pPr>
        <w:pStyle w:val="FootnoteText"/>
        <w:rPr>
          <w:szCs w:val="16"/>
        </w:rPr>
      </w:pPr>
      <w:r w:rsidRPr="00663F32">
        <w:rPr>
          <w:rStyle w:val="FootnoteReference"/>
          <w:szCs w:val="16"/>
        </w:rPr>
        <w:footnoteRef/>
      </w:r>
      <w:r w:rsidRPr="00663F32">
        <w:t xml:space="preserve"> </w:t>
      </w:r>
      <w:r w:rsidRPr="00663F32">
        <w:tab/>
      </w:r>
      <w:r w:rsidRPr="00663F32">
        <w:t xml:space="preserve">CDR 2392/2012 </w:t>
      </w:r>
    </w:p>
  </w:footnote>
  <w:footnote w:id="10">
    <w:p w14:paraId="38FBE9EC" w14:textId="77777777" w:rsidR="00934F2F" w:rsidRPr="00663F32" w:rsidRDefault="00934F2F" w:rsidP="001D4FF4">
      <w:pPr>
        <w:pStyle w:val="FootnoteText"/>
        <w:rPr>
          <w:szCs w:val="16"/>
        </w:rPr>
      </w:pPr>
      <w:r w:rsidRPr="00663F32">
        <w:rPr>
          <w:rStyle w:val="FootnoteReference"/>
          <w:szCs w:val="16"/>
        </w:rPr>
        <w:footnoteRef/>
      </w:r>
      <w:r w:rsidRPr="00663F32">
        <w:t xml:space="preserve"> </w:t>
      </w:r>
      <w:r w:rsidRPr="00663F32">
        <w:tab/>
      </w:r>
      <w:r w:rsidRPr="00663F32">
        <w:t xml:space="preserve">CDR 400/2011 </w:t>
      </w:r>
    </w:p>
  </w:footnote>
  <w:footnote w:id="11">
    <w:p w14:paraId="3349C592" w14:textId="77777777" w:rsidR="00934F2F" w:rsidRPr="00663F32" w:rsidRDefault="00934F2F">
      <w:pPr>
        <w:pStyle w:val="FootnoteText"/>
        <w:rPr>
          <w:szCs w:val="16"/>
        </w:rPr>
      </w:pPr>
      <w:r w:rsidRPr="00663F32">
        <w:rPr>
          <w:rStyle w:val="FootnoteReference"/>
          <w:szCs w:val="16"/>
        </w:rPr>
        <w:footnoteRef/>
      </w:r>
      <w:r w:rsidRPr="00663F32">
        <w:t xml:space="preserve"> </w:t>
      </w:r>
      <w:r w:rsidRPr="00663F32">
        <w:tab/>
      </w:r>
      <w:r w:rsidRPr="00663F32">
        <w:t>CdR 173/2007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3926" w14:textId="77777777" w:rsidR="00663F32" w:rsidRPr="00663F32" w:rsidRDefault="00663F32" w:rsidP="00663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97F6" w14:textId="77777777" w:rsidR="00663F32" w:rsidRPr="00663F32" w:rsidRDefault="00663F32" w:rsidP="00663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3B93" w14:textId="77777777" w:rsidR="00663F32" w:rsidRPr="00663F32" w:rsidRDefault="00663F32" w:rsidP="00663F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58AF" w14:textId="77777777" w:rsidR="00A2443B" w:rsidRPr="00663F32" w:rsidRDefault="00A2443B" w:rsidP="00663F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BCB9" w14:textId="50E49F2C" w:rsidR="00A2443B" w:rsidRPr="00663F32" w:rsidRDefault="00A2443B" w:rsidP="00663F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550C" w14:textId="77777777" w:rsidR="00A2443B" w:rsidRPr="00663F32" w:rsidRDefault="00A2443B" w:rsidP="0066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8480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18F1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765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263D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FA5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221C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F246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E6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AE0D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11E40F4A"/>
    <w:multiLevelType w:val="hybridMultilevel"/>
    <w:tmpl w:val="7228DB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54697D"/>
    <w:multiLevelType w:val="hybridMultilevel"/>
    <w:tmpl w:val="7576BDE0"/>
    <w:lvl w:ilvl="0" w:tplc="9BDE0DC2">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22960A7F"/>
    <w:multiLevelType w:val="hybridMultilevel"/>
    <w:tmpl w:val="B9D25A84"/>
    <w:lvl w:ilvl="0" w:tplc="9BDE0DC2">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297B0160"/>
    <w:multiLevelType w:val="hybridMultilevel"/>
    <w:tmpl w:val="E9C829AE"/>
    <w:lvl w:ilvl="0" w:tplc="9BDE0DC2">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353D2FE9"/>
    <w:multiLevelType w:val="hybridMultilevel"/>
    <w:tmpl w:val="A0F8C01A"/>
    <w:lvl w:ilvl="0" w:tplc="062C0F9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9E96977"/>
    <w:multiLevelType w:val="hybridMultilevel"/>
    <w:tmpl w:val="7C344B14"/>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8" w15:restartNumberingAfterBreak="0">
    <w:nsid w:val="3ACF609D"/>
    <w:multiLevelType w:val="hybridMultilevel"/>
    <w:tmpl w:val="755498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7D78EF"/>
    <w:multiLevelType w:val="hybridMultilevel"/>
    <w:tmpl w:val="51AA6D0A"/>
    <w:lvl w:ilvl="0" w:tplc="23969108">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9BDE0DC2">
      <w:start w:val="1"/>
      <w:numFmt w:val="bullet"/>
      <w:lvlText w:val=""/>
      <w:lvlJc w:val="left"/>
      <w:pPr>
        <w:tabs>
          <w:tab w:val="num" w:pos="1080"/>
        </w:tabs>
        <w:ind w:left="1449" w:hanging="369"/>
      </w:pPr>
      <w:rPr>
        <w:rFonts w:ascii="Times New Roman" w:hAnsi="Times New Roman" w:cs="Times New Roman" w:hint="default"/>
        <w:b w:val="0"/>
        <w:bCs w:val="0"/>
        <w:i w:val="0"/>
        <w:iCs w:val="0"/>
        <w:sz w:val="22"/>
        <w:szCs w:val="22"/>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3F6D6FF8"/>
    <w:multiLevelType w:val="hybridMultilevel"/>
    <w:tmpl w:val="ABC66076"/>
    <w:lvl w:ilvl="0" w:tplc="9BDE0DC2">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40357B7A"/>
    <w:multiLevelType w:val="hybridMultilevel"/>
    <w:tmpl w:val="51AA6D0A"/>
    <w:lvl w:ilvl="0" w:tplc="8BFAA160">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9BDE0DC2">
      <w:start w:val="1"/>
      <w:numFmt w:val="bullet"/>
      <w:lvlText w:val=""/>
      <w:lvlJc w:val="left"/>
      <w:pPr>
        <w:tabs>
          <w:tab w:val="num" w:pos="1080"/>
        </w:tabs>
        <w:ind w:left="1449" w:hanging="369"/>
      </w:pPr>
      <w:rPr>
        <w:rFonts w:ascii="Times New Roman" w:hAnsi="Times New Roman" w:cs="Times New Roman" w:hint="default"/>
        <w:b w:val="0"/>
        <w:bCs w:val="0"/>
        <w:i w:val="0"/>
        <w:iCs w:val="0"/>
        <w:sz w:val="22"/>
        <w:szCs w:val="22"/>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4C227B42"/>
    <w:multiLevelType w:val="hybridMultilevel"/>
    <w:tmpl w:val="D7C6597E"/>
    <w:lvl w:ilvl="0" w:tplc="9BDE0DC2">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3" w15:restartNumberingAfterBreak="0">
    <w:nsid w:val="57006791"/>
    <w:multiLevelType w:val="hybridMultilevel"/>
    <w:tmpl w:val="00D896E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9C65A12"/>
    <w:multiLevelType w:val="hybridMultilevel"/>
    <w:tmpl w:val="36164AD6"/>
    <w:lvl w:ilvl="0" w:tplc="9BDE0DC2">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5" w15:restartNumberingAfterBreak="0">
    <w:nsid w:val="65D91568"/>
    <w:multiLevelType w:val="hybridMultilevel"/>
    <w:tmpl w:val="F4DE7EBC"/>
    <w:lvl w:ilvl="0" w:tplc="9BDE0DC2">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num w:numId="1">
    <w:abstractNumId w:val="10"/>
  </w:num>
  <w:num w:numId="2">
    <w:abstractNumId w:val="17"/>
  </w:num>
  <w:num w:numId="3">
    <w:abstractNumId w:val="26"/>
  </w:num>
  <w:num w:numId="4">
    <w:abstractNumId w:val="19"/>
  </w:num>
  <w:num w:numId="5">
    <w:abstractNumId w:val="21"/>
  </w:num>
  <w:num w:numId="6">
    <w:abstractNumId w:val="14"/>
  </w:num>
  <w:num w:numId="7">
    <w:abstractNumId w:val="12"/>
  </w:num>
  <w:num w:numId="8">
    <w:abstractNumId w:val="25"/>
  </w:num>
  <w:num w:numId="9">
    <w:abstractNumId w:val="22"/>
  </w:num>
  <w:num w:numId="10">
    <w:abstractNumId w:val="24"/>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5"/>
  </w:num>
  <w:num w:numId="25">
    <w:abstractNumId w:val="18"/>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33058"/>
    <w:rsid w:val="00037D1F"/>
    <w:rsid w:val="000554A7"/>
    <w:rsid w:val="000615B3"/>
    <w:rsid w:val="00081B8A"/>
    <w:rsid w:val="00085F65"/>
    <w:rsid w:val="000967AB"/>
    <w:rsid w:val="000A388E"/>
    <w:rsid w:val="000A6FAC"/>
    <w:rsid w:val="000B241D"/>
    <w:rsid w:val="000B5F4A"/>
    <w:rsid w:val="000D6E91"/>
    <w:rsid w:val="000E353D"/>
    <w:rsid w:val="000E4D3D"/>
    <w:rsid w:val="000E73F5"/>
    <w:rsid w:val="00106E38"/>
    <w:rsid w:val="0011279A"/>
    <w:rsid w:val="0013768F"/>
    <w:rsid w:val="00144830"/>
    <w:rsid w:val="0014621A"/>
    <w:rsid w:val="00171330"/>
    <w:rsid w:val="00173C43"/>
    <w:rsid w:val="001A3BCA"/>
    <w:rsid w:val="001B369D"/>
    <w:rsid w:val="001D3B08"/>
    <w:rsid w:val="001E3E82"/>
    <w:rsid w:val="001F3CBB"/>
    <w:rsid w:val="00202041"/>
    <w:rsid w:val="00205593"/>
    <w:rsid w:val="00206770"/>
    <w:rsid w:val="002420B8"/>
    <w:rsid w:val="00254B94"/>
    <w:rsid w:val="00256651"/>
    <w:rsid w:val="00261090"/>
    <w:rsid w:val="00263B55"/>
    <w:rsid w:val="00285B08"/>
    <w:rsid w:val="002900DA"/>
    <w:rsid w:val="00297C1C"/>
    <w:rsid w:val="002D0720"/>
    <w:rsid w:val="002F03D6"/>
    <w:rsid w:val="002F4250"/>
    <w:rsid w:val="00320E01"/>
    <w:rsid w:val="00325CB8"/>
    <w:rsid w:val="003265C2"/>
    <w:rsid w:val="00340C0E"/>
    <w:rsid w:val="0034475A"/>
    <w:rsid w:val="003531A9"/>
    <w:rsid w:val="0035740C"/>
    <w:rsid w:val="00361FB1"/>
    <w:rsid w:val="003842E6"/>
    <w:rsid w:val="003A2BC0"/>
    <w:rsid w:val="003D4E50"/>
    <w:rsid w:val="003D64EE"/>
    <w:rsid w:val="003E4F5F"/>
    <w:rsid w:val="003E6885"/>
    <w:rsid w:val="004120FE"/>
    <w:rsid w:val="00412C22"/>
    <w:rsid w:val="00415C49"/>
    <w:rsid w:val="004217FF"/>
    <w:rsid w:val="00436DA9"/>
    <w:rsid w:val="00450516"/>
    <w:rsid w:val="00451BDB"/>
    <w:rsid w:val="00461B6D"/>
    <w:rsid w:val="00467891"/>
    <w:rsid w:val="00470159"/>
    <w:rsid w:val="00470921"/>
    <w:rsid w:val="004917DA"/>
    <w:rsid w:val="00497319"/>
    <w:rsid w:val="004A5AF4"/>
    <w:rsid w:val="004A7E9C"/>
    <w:rsid w:val="004B2357"/>
    <w:rsid w:val="004B2FA2"/>
    <w:rsid w:val="004C43A0"/>
    <w:rsid w:val="004C4DEB"/>
    <w:rsid w:val="004D4D6B"/>
    <w:rsid w:val="004D7830"/>
    <w:rsid w:val="004E6A2F"/>
    <w:rsid w:val="004F1AF8"/>
    <w:rsid w:val="005002D8"/>
    <w:rsid w:val="00506F12"/>
    <w:rsid w:val="005157D6"/>
    <w:rsid w:val="00530245"/>
    <w:rsid w:val="00546CC6"/>
    <w:rsid w:val="00553482"/>
    <w:rsid w:val="00554E02"/>
    <w:rsid w:val="00567236"/>
    <w:rsid w:val="00573F4C"/>
    <w:rsid w:val="00590579"/>
    <w:rsid w:val="005940F2"/>
    <w:rsid w:val="005A13D6"/>
    <w:rsid w:val="005A23E0"/>
    <w:rsid w:val="005A2944"/>
    <w:rsid w:val="005A7C7F"/>
    <w:rsid w:val="005C4F1C"/>
    <w:rsid w:val="005C5B8D"/>
    <w:rsid w:val="005D31A6"/>
    <w:rsid w:val="005D4859"/>
    <w:rsid w:val="005D4BF6"/>
    <w:rsid w:val="005E0115"/>
    <w:rsid w:val="005E5529"/>
    <w:rsid w:val="005E67B4"/>
    <w:rsid w:val="005F106F"/>
    <w:rsid w:val="005F6E49"/>
    <w:rsid w:val="0060761C"/>
    <w:rsid w:val="00617E66"/>
    <w:rsid w:val="00625598"/>
    <w:rsid w:val="0064218E"/>
    <w:rsid w:val="00645797"/>
    <w:rsid w:val="00646BFB"/>
    <w:rsid w:val="006556C8"/>
    <w:rsid w:val="00663F32"/>
    <w:rsid w:val="006723B4"/>
    <w:rsid w:val="006752B0"/>
    <w:rsid w:val="00691AFD"/>
    <w:rsid w:val="006A66E6"/>
    <w:rsid w:val="006B4643"/>
    <w:rsid w:val="006B70E0"/>
    <w:rsid w:val="006C1D67"/>
    <w:rsid w:val="006C66B7"/>
    <w:rsid w:val="006C70FB"/>
    <w:rsid w:val="006D5FCE"/>
    <w:rsid w:val="006E0A85"/>
    <w:rsid w:val="006E0EF7"/>
    <w:rsid w:val="006E48A3"/>
    <w:rsid w:val="006F1C89"/>
    <w:rsid w:val="00704805"/>
    <w:rsid w:val="007273C3"/>
    <w:rsid w:val="00743B10"/>
    <w:rsid w:val="00747A29"/>
    <w:rsid w:val="0076428A"/>
    <w:rsid w:val="007771AB"/>
    <w:rsid w:val="007A01D2"/>
    <w:rsid w:val="007B3C20"/>
    <w:rsid w:val="007C2BA9"/>
    <w:rsid w:val="007E072B"/>
    <w:rsid w:val="00814B11"/>
    <w:rsid w:val="008332D0"/>
    <w:rsid w:val="00837FA5"/>
    <w:rsid w:val="008452EC"/>
    <w:rsid w:val="008560F9"/>
    <w:rsid w:val="00857995"/>
    <w:rsid w:val="008631B2"/>
    <w:rsid w:val="00871ADE"/>
    <w:rsid w:val="00890AB8"/>
    <w:rsid w:val="00895197"/>
    <w:rsid w:val="008B11FE"/>
    <w:rsid w:val="008C107D"/>
    <w:rsid w:val="008C44C8"/>
    <w:rsid w:val="008C78F8"/>
    <w:rsid w:val="008D293C"/>
    <w:rsid w:val="008D3528"/>
    <w:rsid w:val="008D407C"/>
    <w:rsid w:val="008D45C1"/>
    <w:rsid w:val="00900088"/>
    <w:rsid w:val="00926EB8"/>
    <w:rsid w:val="00934F2F"/>
    <w:rsid w:val="00946E1F"/>
    <w:rsid w:val="0096683A"/>
    <w:rsid w:val="00966E6B"/>
    <w:rsid w:val="009735B1"/>
    <w:rsid w:val="00974D15"/>
    <w:rsid w:val="009A2278"/>
    <w:rsid w:val="009B2DC8"/>
    <w:rsid w:val="009B4FDF"/>
    <w:rsid w:val="009D5C85"/>
    <w:rsid w:val="009E501F"/>
    <w:rsid w:val="009F7F14"/>
    <w:rsid w:val="00A012E5"/>
    <w:rsid w:val="00A02268"/>
    <w:rsid w:val="00A2443B"/>
    <w:rsid w:val="00A30F75"/>
    <w:rsid w:val="00A4321D"/>
    <w:rsid w:val="00A73F0D"/>
    <w:rsid w:val="00A7793F"/>
    <w:rsid w:val="00A8460D"/>
    <w:rsid w:val="00AA017A"/>
    <w:rsid w:val="00AA6D31"/>
    <w:rsid w:val="00AB6C57"/>
    <w:rsid w:val="00AC5DF7"/>
    <w:rsid w:val="00AF2DB7"/>
    <w:rsid w:val="00AF4995"/>
    <w:rsid w:val="00AF5F6E"/>
    <w:rsid w:val="00B013AB"/>
    <w:rsid w:val="00B01D22"/>
    <w:rsid w:val="00B06CEC"/>
    <w:rsid w:val="00B442F7"/>
    <w:rsid w:val="00B52416"/>
    <w:rsid w:val="00B60672"/>
    <w:rsid w:val="00B750A2"/>
    <w:rsid w:val="00B75644"/>
    <w:rsid w:val="00B77922"/>
    <w:rsid w:val="00B77CF4"/>
    <w:rsid w:val="00B8334B"/>
    <w:rsid w:val="00B96144"/>
    <w:rsid w:val="00B971FD"/>
    <w:rsid w:val="00BC05F6"/>
    <w:rsid w:val="00BC19E5"/>
    <w:rsid w:val="00BD3C3B"/>
    <w:rsid w:val="00BE09DB"/>
    <w:rsid w:val="00BF7AE7"/>
    <w:rsid w:val="00C02BA7"/>
    <w:rsid w:val="00C03267"/>
    <w:rsid w:val="00C070EE"/>
    <w:rsid w:val="00C13BFE"/>
    <w:rsid w:val="00C16DA8"/>
    <w:rsid w:val="00C25F86"/>
    <w:rsid w:val="00C41587"/>
    <w:rsid w:val="00C639CA"/>
    <w:rsid w:val="00C65021"/>
    <w:rsid w:val="00C74527"/>
    <w:rsid w:val="00CA0382"/>
    <w:rsid w:val="00CB3034"/>
    <w:rsid w:val="00CB65B5"/>
    <w:rsid w:val="00CC48CC"/>
    <w:rsid w:val="00CD0478"/>
    <w:rsid w:val="00CD4EB3"/>
    <w:rsid w:val="00CD5A2E"/>
    <w:rsid w:val="00CE4ACA"/>
    <w:rsid w:val="00CE58A7"/>
    <w:rsid w:val="00D002BE"/>
    <w:rsid w:val="00D04705"/>
    <w:rsid w:val="00D078B0"/>
    <w:rsid w:val="00D20437"/>
    <w:rsid w:val="00D2166F"/>
    <w:rsid w:val="00D2340D"/>
    <w:rsid w:val="00D25C3E"/>
    <w:rsid w:val="00D5162F"/>
    <w:rsid w:val="00D5448D"/>
    <w:rsid w:val="00D71E4C"/>
    <w:rsid w:val="00D83A28"/>
    <w:rsid w:val="00DC20A6"/>
    <w:rsid w:val="00DC6B55"/>
    <w:rsid w:val="00DC75BC"/>
    <w:rsid w:val="00DE13D7"/>
    <w:rsid w:val="00DE37DB"/>
    <w:rsid w:val="00DE3B23"/>
    <w:rsid w:val="00DF0CE2"/>
    <w:rsid w:val="00DF1F0D"/>
    <w:rsid w:val="00DF6C5D"/>
    <w:rsid w:val="00DF7FCE"/>
    <w:rsid w:val="00E20A32"/>
    <w:rsid w:val="00E303DB"/>
    <w:rsid w:val="00E3674B"/>
    <w:rsid w:val="00E413EB"/>
    <w:rsid w:val="00E44AE4"/>
    <w:rsid w:val="00E52CBD"/>
    <w:rsid w:val="00E8353A"/>
    <w:rsid w:val="00E953F4"/>
    <w:rsid w:val="00E95F15"/>
    <w:rsid w:val="00EB3B52"/>
    <w:rsid w:val="00EC3E49"/>
    <w:rsid w:val="00EE254F"/>
    <w:rsid w:val="00EF0186"/>
    <w:rsid w:val="00F13BE6"/>
    <w:rsid w:val="00F27ACC"/>
    <w:rsid w:val="00F35886"/>
    <w:rsid w:val="00F37EF4"/>
    <w:rsid w:val="00F40ED7"/>
    <w:rsid w:val="00F45402"/>
    <w:rsid w:val="00F50160"/>
    <w:rsid w:val="00F56909"/>
    <w:rsid w:val="00F73287"/>
    <w:rsid w:val="00F97E8F"/>
    <w:rsid w:val="00FA0122"/>
    <w:rsid w:val="00FC1CB4"/>
    <w:rsid w:val="00FC6B3D"/>
    <w:rsid w:val="00FE1C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89E0ED"/>
  <w15:docId w15:val="{DAEDE610-8346-412C-9304-F4D8FB0FFA2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o-RO"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49"/>
    <w:pPr>
      <w:spacing w:line="288" w:lineRule="auto"/>
      <w:jc w:val="both"/>
    </w:pPr>
    <w:rPr>
      <w:rFonts w:eastAsia="Times New Roman"/>
      <w:sz w:val="22"/>
      <w:szCs w:val="22"/>
      <w:lang w:eastAsia="en-US"/>
    </w:rPr>
  </w:style>
  <w:style w:type="paragraph" w:styleId="Heading1">
    <w:name w:val="heading 1"/>
    <w:basedOn w:val="Normal"/>
    <w:next w:val="Normal"/>
    <w:link w:val="Heading1Char"/>
    <w:qFormat/>
    <w:rsid w:val="00EC3E49"/>
    <w:pPr>
      <w:numPr>
        <w:numId w:val="1"/>
      </w:numPr>
      <w:ind w:left="567" w:hanging="567"/>
      <w:outlineLvl w:val="0"/>
    </w:pPr>
    <w:rPr>
      <w:kern w:val="28"/>
    </w:rPr>
  </w:style>
  <w:style w:type="paragraph" w:styleId="Heading2">
    <w:name w:val="heading 2"/>
    <w:basedOn w:val="Normal"/>
    <w:next w:val="Normal"/>
    <w:qFormat/>
    <w:rsid w:val="00EC3E49"/>
    <w:pPr>
      <w:numPr>
        <w:ilvl w:val="1"/>
        <w:numId w:val="1"/>
      </w:numPr>
      <w:ind w:left="567" w:hanging="567"/>
      <w:outlineLvl w:val="1"/>
    </w:pPr>
  </w:style>
  <w:style w:type="paragraph" w:styleId="Heading3">
    <w:name w:val="heading 3"/>
    <w:basedOn w:val="Normal"/>
    <w:next w:val="Normal"/>
    <w:qFormat/>
    <w:rsid w:val="00EC3E49"/>
    <w:pPr>
      <w:numPr>
        <w:ilvl w:val="2"/>
        <w:numId w:val="1"/>
      </w:numPr>
      <w:ind w:left="567" w:hanging="567"/>
      <w:outlineLvl w:val="2"/>
    </w:pPr>
  </w:style>
  <w:style w:type="paragraph" w:styleId="Heading4">
    <w:name w:val="heading 4"/>
    <w:basedOn w:val="Normal"/>
    <w:next w:val="Normal"/>
    <w:qFormat/>
    <w:rsid w:val="00EC3E49"/>
    <w:pPr>
      <w:numPr>
        <w:ilvl w:val="3"/>
        <w:numId w:val="1"/>
      </w:numPr>
      <w:ind w:left="567" w:hanging="567"/>
      <w:outlineLvl w:val="3"/>
    </w:pPr>
  </w:style>
  <w:style w:type="paragraph" w:styleId="Heading5">
    <w:name w:val="heading 5"/>
    <w:basedOn w:val="Normal"/>
    <w:next w:val="Normal"/>
    <w:qFormat/>
    <w:rsid w:val="00EC3E49"/>
    <w:pPr>
      <w:numPr>
        <w:ilvl w:val="4"/>
        <w:numId w:val="1"/>
      </w:numPr>
      <w:ind w:left="567" w:hanging="567"/>
      <w:outlineLvl w:val="4"/>
    </w:pPr>
  </w:style>
  <w:style w:type="paragraph" w:styleId="Heading6">
    <w:name w:val="heading 6"/>
    <w:basedOn w:val="Normal"/>
    <w:next w:val="Normal"/>
    <w:qFormat/>
    <w:rsid w:val="00EC3E49"/>
    <w:pPr>
      <w:numPr>
        <w:ilvl w:val="5"/>
        <w:numId w:val="1"/>
      </w:numPr>
      <w:ind w:left="567" w:hanging="567"/>
      <w:outlineLvl w:val="5"/>
    </w:pPr>
  </w:style>
  <w:style w:type="paragraph" w:styleId="Heading7">
    <w:name w:val="heading 7"/>
    <w:basedOn w:val="Normal"/>
    <w:next w:val="Normal"/>
    <w:qFormat/>
    <w:rsid w:val="00EC3E49"/>
    <w:pPr>
      <w:numPr>
        <w:ilvl w:val="6"/>
        <w:numId w:val="1"/>
      </w:numPr>
      <w:ind w:left="567" w:hanging="567"/>
      <w:outlineLvl w:val="6"/>
    </w:pPr>
  </w:style>
  <w:style w:type="paragraph" w:styleId="Heading8">
    <w:name w:val="heading 8"/>
    <w:basedOn w:val="Normal"/>
    <w:next w:val="Normal"/>
    <w:qFormat/>
    <w:rsid w:val="00EC3E49"/>
    <w:pPr>
      <w:numPr>
        <w:ilvl w:val="7"/>
        <w:numId w:val="1"/>
      </w:numPr>
      <w:ind w:left="567" w:hanging="567"/>
      <w:outlineLvl w:val="7"/>
    </w:pPr>
  </w:style>
  <w:style w:type="paragraph" w:styleId="Heading9">
    <w:name w:val="heading 9"/>
    <w:basedOn w:val="Normal"/>
    <w:next w:val="Normal"/>
    <w:qFormat/>
    <w:rsid w:val="00EC3E4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EC3E49"/>
  </w:style>
  <w:style w:type="paragraph" w:styleId="FootnoteText">
    <w:name w:val="footnote text"/>
    <w:aliases w:val="AF Fußnotentext,Fußnote,Footnote,fn,Footnote Text Char1,Footnote Text Char Char,FOOTNOTES,single space,footnote text,Fußnotentext Char,Footnote Text Char Char1,Footnote Text Char Char Char,FOOTNOTES Char Char,fn Char Char,Char Char2"/>
    <w:basedOn w:val="Normal"/>
    <w:link w:val="FootnoteTextChar"/>
    <w:qFormat/>
    <w:rsid w:val="00EC3E49"/>
    <w:pPr>
      <w:keepLines/>
      <w:spacing w:after="60" w:line="240" w:lineRule="auto"/>
      <w:ind w:left="567" w:hanging="567"/>
    </w:pPr>
    <w:rPr>
      <w:sz w:val="16"/>
    </w:rPr>
  </w:style>
  <w:style w:type="paragraph" w:styleId="Header">
    <w:name w:val="header"/>
    <w:basedOn w:val="Normal"/>
    <w:qFormat/>
    <w:rsid w:val="00EC3E49"/>
  </w:style>
  <w:style w:type="paragraph" w:customStyle="1" w:styleId="quotes">
    <w:name w:val="quotes"/>
    <w:basedOn w:val="Normal"/>
    <w:next w:val="Normal"/>
    <w:rsid w:val="00EC3E49"/>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aliases w:val="SUPERS,Footnote symbol,Voetnootverwijzing,Times 10 Point,Exposant 3 Point,Nota,Footnote number,fr,o,Footnotemark,FR,Footnotemark1,Footnotemark2,FR1,Footnotemark3,FR2,Footnotemark4,FR3,Footnotemark5,FR4,Footnotemark6,Footnotemark7,Ref"/>
    <w:basedOn w:val="DefaultParagraphFont"/>
    <w:unhideWhenUsed/>
    <w:qFormat/>
    <w:rsid w:val="00EC3E49"/>
    <w:rPr>
      <w:sz w:val="24"/>
      <w:vertAlign w:val="superscript"/>
    </w:rPr>
  </w:style>
  <w:style w:type="character" w:styleId="FollowedHyperlink">
    <w:name w:val="FollowedHyperlink"/>
    <w:basedOn w:val="DefaultParagraphFont"/>
    <w:rPr>
      <w:color w:val="800080"/>
      <w:u w:val="single"/>
    </w:rPr>
  </w:style>
  <w:style w:type="paragraph" w:customStyle="1" w:styleId="LOGO">
    <w:name w:val="LOGO"/>
    <w:basedOn w:val="Normal"/>
    <w:pPr>
      <w:jc w:val="center"/>
    </w:pPr>
    <w:rPr>
      <w:rFonts w:ascii="Arial" w:hAnsi="Arial" w:cs="Arial"/>
      <w:b/>
      <w:bCs/>
      <w:i/>
      <w:iCs/>
      <w:sz w:val="20"/>
    </w:rPr>
  </w:style>
  <w:style w:type="paragraph" w:styleId="ListParagraph">
    <w:name w:val="List Paragraph"/>
    <w:basedOn w:val="Normal"/>
    <w:uiPriority w:val="34"/>
    <w:qFormat/>
    <w:rsid w:val="00CB65B5"/>
    <w:pPr>
      <w:ind w:left="720"/>
      <w:contextualSpacing/>
    </w:pPr>
  </w:style>
  <w:style w:type="character" w:customStyle="1" w:styleId="Heading1Char">
    <w:name w:val="Heading 1 Char"/>
    <w:basedOn w:val="DefaultParagraphFont"/>
    <w:link w:val="Heading1"/>
    <w:rsid w:val="00CB65B5"/>
    <w:rPr>
      <w:rFonts w:eastAsia="Times New Roman"/>
      <w:kern w:val="28"/>
      <w:sz w:val="22"/>
      <w:szCs w:val="22"/>
      <w:lang w:val="ro-RO" w:eastAsia="en-US"/>
    </w:rPr>
  </w:style>
  <w:style w:type="paragraph" w:styleId="BalloonText">
    <w:name w:val="Balloon Text"/>
    <w:basedOn w:val="Normal"/>
    <w:link w:val="BalloonTextChar"/>
    <w:rsid w:val="00EC3E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3E49"/>
    <w:rPr>
      <w:rFonts w:ascii="Tahoma" w:eastAsia="Times New Roman" w:hAnsi="Tahoma" w:cs="Tahoma"/>
      <w:sz w:val="16"/>
      <w:szCs w:val="16"/>
      <w:lang w:val="ro-RO" w:eastAsia="en-US"/>
    </w:rPr>
  </w:style>
  <w:style w:type="character" w:customStyle="1" w:styleId="tlid-translation">
    <w:name w:val="tlid-translation"/>
    <w:basedOn w:val="DefaultParagraphFont"/>
    <w:rsid w:val="00497319"/>
  </w:style>
  <w:style w:type="character" w:customStyle="1" w:styleId="FootnoteTextChar">
    <w:name w:val="Footnote Text Char"/>
    <w:aliases w:val="AF Fußnotentext Char,Fußnote Char,Footnote Char,fn Char,Footnote Text Char1 Char,Footnote Text Char Char Char1,FOOTNOTES Char,single space Char,footnote text Char,Fußnotentext Char Char,Footnote Text Char Char1 Char,fn Char Char Char"/>
    <w:link w:val="FootnoteText"/>
    <w:qFormat/>
    <w:rsid w:val="00934F2F"/>
    <w:rPr>
      <w:rFonts w:eastAsia="Times New Roman"/>
      <w:sz w:val="16"/>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5661">
      <w:bodyDiv w:val="1"/>
      <w:marLeft w:val="0"/>
      <w:marRight w:val="0"/>
      <w:marTop w:val="0"/>
      <w:marBottom w:val="0"/>
      <w:divBdr>
        <w:top w:val="none" w:sz="0" w:space="0" w:color="auto"/>
        <w:left w:val="none" w:sz="0" w:space="0" w:color="auto"/>
        <w:bottom w:val="none" w:sz="0" w:space="0" w:color="auto"/>
        <w:right w:val="none" w:sz="0" w:space="0" w:color="auto"/>
      </w:divBdr>
      <w:divsChild>
        <w:div w:id="2010282358">
          <w:marLeft w:val="0"/>
          <w:marRight w:val="0"/>
          <w:marTop w:val="0"/>
          <w:marBottom w:val="0"/>
          <w:divBdr>
            <w:top w:val="none" w:sz="0" w:space="0" w:color="auto"/>
            <w:left w:val="none" w:sz="0" w:space="0" w:color="auto"/>
            <w:bottom w:val="none" w:sz="0" w:space="0" w:color="auto"/>
            <w:right w:val="none" w:sz="0" w:space="0" w:color="auto"/>
          </w:divBdr>
          <w:divsChild>
            <w:div w:id="1620181889">
              <w:marLeft w:val="0"/>
              <w:marRight w:val="0"/>
              <w:marTop w:val="0"/>
              <w:marBottom w:val="0"/>
              <w:divBdr>
                <w:top w:val="none" w:sz="0" w:space="0" w:color="auto"/>
                <w:left w:val="none" w:sz="0" w:space="0" w:color="auto"/>
                <w:bottom w:val="none" w:sz="0" w:space="0" w:color="auto"/>
                <w:right w:val="none" w:sz="0" w:space="0" w:color="auto"/>
              </w:divBdr>
              <w:divsChild>
                <w:div w:id="1924607846">
                  <w:marLeft w:val="0"/>
                  <w:marRight w:val="0"/>
                  <w:marTop w:val="0"/>
                  <w:marBottom w:val="0"/>
                  <w:divBdr>
                    <w:top w:val="none" w:sz="0" w:space="0" w:color="auto"/>
                    <w:left w:val="none" w:sz="0" w:space="0" w:color="auto"/>
                    <w:bottom w:val="none" w:sz="0" w:space="0" w:color="auto"/>
                    <w:right w:val="none" w:sz="0" w:space="0" w:color="auto"/>
                  </w:divBdr>
                  <w:divsChild>
                    <w:div w:id="2050491205">
                      <w:marLeft w:val="0"/>
                      <w:marRight w:val="0"/>
                      <w:marTop w:val="0"/>
                      <w:marBottom w:val="0"/>
                      <w:divBdr>
                        <w:top w:val="none" w:sz="0" w:space="0" w:color="auto"/>
                        <w:left w:val="none" w:sz="0" w:space="0" w:color="auto"/>
                        <w:bottom w:val="none" w:sz="0" w:space="0" w:color="auto"/>
                        <w:right w:val="none" w:sz="0" w:space="0" w:color="auto"/>
                      </w:divBdr>
                      <w:divsChild>
                        <w:div w:id="713894291">
                          <w:marLeft w:val="0"/>
                          <w:marRight w:val="0"/>
                          <w:marTop w:val="0"/>
                          <w:marBottom w:val="0"/>
                          <w:divBdr>
                            <w:top w:val="none" w:sz="0" w:space="0" w:color="auto"/>
                            <w:left w:val="none" w:sz="0" w:space="0" w:color="auto"/>
                            <w:bottom w:val="none" w:sz="0" w:space="0" w:color="auto"/>
                            <w:right w:val="none" w:sz="0" w:space="0" w:color="auto"/>
                          </w:divBdr>
                          <w:divsChild>
                            <w:div w:id="1778141063">
                              <w:marLeft w:val="0"/>
                              <w:marRight w:val="0"/>
                              <w:marTop w:val="0"/>
                              <w:marBottom w:val="0"/>
                              <w:divBdr>
                                <w:top w:val="none" w:sz="0" w:space="0" w:color="auto"/>
                                <w:left w:val="none" w:sz="0" w:space="0" w:color="auto"/>
                                <w:bottom w:val="none" w:sz="0" w:space="0" w:color="auto"/>
                                <w:right w:val="none" w:sz="0" w:space="0" w:color="auto"/>
                              </w:divBdr>
                              <w:divsChild>
                                <w:div w:id="1134327789">
                                  <w:marLeft w:val="0"/>
                                  <w:marRight w:val="0"/>
                                  <w:marTop w:val="0"/>
                                  <w:marBottom w:val="0"/>
                                  <w:divBdr>
                                    <w:top w:val="none" w:sz="0" w:space="0" w:color="auto"/>
                                    <w:left w:val="none" w:sz="0" w:space="0" w:color="auto"/>
                                    <w:bottom w:val="none" w:sz="0" w:space="0" w:color="auto"/>
                                    <w:right w:val="none" w:sz="0" w:space="0" w:color="auto"/>
                                  </w:divBdr>
                                  <w:divsChild>
                                    <w:div w:id="278415230">
                                      <w:marLeft w:val="0"/>
                                      <w:marRight w:val="0"/>
                                      <w:marTop w:val="0"/>
                                      <w:marBottom w:val="0"/>
                                      <w:divBdr>
                                        <w:top w:val="none" w:sz="0" w:space="0" w:color="auto"/>
                                        <w:left w:val="none" w:sz="0" w:space="0" w:color="auto"/>
                                        <w:bottom w:val="none" w:sz="0" w:space="0" w:color="auto"/>
                                        <w:right w:val="none" w:sz="0" w:space="0" w:color="auto"/>
                                      </w:divBdr>
                                      <w:divsChild>
                                        <w:div w:id="1509980836">
                                          <w:marLeft w:val="0"/>
                                          <w:marRight w:val="0"/>
                                          <w:marTop w:val="0"/>
                                          <w:marBottom w:val="495"/>
                                          <w:divBdr>
                                            <w:top w:val="none" w:sz="0" w:space="0" w:color="auto"/>
                                            <w:left w:val="none" w:sz="0" w:space="0" w:color="auto"/>
                                            <w:bottom w:val="none" w:sz="0" w:space="0" w:color="auto"/>
                                            <w:right w:val="none" w:sz="0" w:space="0" w:color="auto"/>
                                          </w:divBdr>
                                          <w:divsChild>
                                            <w:div w:id="16865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092591">
      <w:bodyDiv w:val="1"/>
      <w:marLeft w:val="0"/>
      <w:marRight w:val="0"/>
      <w:marTop w:val="0"/>
      <w:marBottom w:val="0"/>
      <w:divBdr>
        <w:top w:val="none" w:sz="0" w:space="0" w:color="auto"/>
        <w:left w:val="none" w:sz="0" w:space="0" w:color="auto"/>
        <w:bottom w:val="none" w:sz="0" w:space="0" w:color="auto"/>
        <w:right w:val="none" w:sz="0" w:space="0" w:color="auto"/>
      </w:divBdr>
      <w:divsChild>
        <w:div w:id="1896163233">
          <w:marLeft w:val="0"/>
          <w:marRight w:val="0"/>
          <w:marTop w:val="0"/>
          <w:marBottom w:val="0"/>
          <w:divBdr>
            <w:top w:val="none" w:sz="0" w:space="0" w:color="auto"/>
            <w:left w:val="none" w:sz="0" w:space="0" w:color="auto"/>
            <w:bottom w:val="none" w:sz="0" w:space="0" w:color="auto"/>
            <w:right w:val="none" w:sz="0" w:space="0" w:color="auto"/>
          </w:divBdr>
          <w:divsChild>
            <w:div w:id="1209148014">
              <w:marLeft w:val="0"/>
              <w:marRight w:val="0"/>
              <w:marTop w:val="0"/>
              <w:marBottom w:val="0"/>
              <w:divBdr>
                <w:top w:val="none" w:sz="0" w:space="0" w:color="auto"/>
                <w:left w:val="none" w:sz="0" w:space="0" w:color="auto"/>
                <w:bottom w:val="none" w:sz="0" w:space="0" w:color="auto"/>
                <w:right w:val="none" w:sz="0" w:space="0" w:color="auto"/>
              </w:divBdr>
              <w:divsChild>
                <w:div w:id="1610579905">
                  <w:marLeft w:val="0"/>
                  <w:marRight w:val="0"/>
                  <w:marTop w:val="0"/>
                  <w:marBottom w:val="0"/>
                  <w:divBdr>
                    <w:top w:val="none" w:sz="0" w:space="0" w:color="auto"/>
                    <w:left w:val="none" w:sz="0" w:space="0" w:color="auto"/>
                    <w:bottom w:val="none" w:sz="0" w:space="0" w:color="auto"/>
                    <w:right w:val="none" w:sz="0" w:space="0" w:color="auto"/>
                  </w:divBdr>
                  <w:divsChild>
                    <w:div w:id="77993484">
                      <w:marLeft w:val="0"/>
                      <w:marRight w:val="0"/>
                      <w:marTop w:val="0"/>
                      <w:marBottom w:val="0"/>
                      <w:divBdr>
                        <w:top w:val="none" w:sz="0" w:space="0" w:color="auto"/>
                        <w:left w:val="none" w:sz="0" w:space="0" w:color="auto"/>
                        <w:bottom w:val="none" w:sz="0" w:space="0" w:color="auto"/>
                        <w:right w:val="none" w:sz="0" w:space="0" w:color="auto"/>
                      </w:divBdr>
                      <w:divsChild>
                        <w:div w:id="1232497388">
                          <w:marLeft w:val="0"/>
                          <w:marRight w:val="0"/>
                          <w:marTop w:val="0"/>
                          <w:marBottom w:val="0"/>
                          <w:divBdr>
                            <w:top w:val="none" w:sz="0" w:space="0" w:color="auto"/>
                            <w:left w:val="none" w:sz="0" w:space="0" w:color="auto"/>
                            <w:bottom w:val="none" w:sz="0" w:space="0" w:color="auto"/>
                            <w:right w:val="none" w:sz="0" w:space="0" w:color="auto"/>
                          </w:divBdr>
                          <w:divsChild>
                            <w:div w:id="1586188656">
                              <w:marLeft w:val="0"/>
                              <w:marRight w:val="0"/>
                              <w:marTop w:val="0"/>
                              <w:marBottom w:val="0"/>
                              <w:divBdr>
                                <w:top w:val="none" w:sz="0" w:space="0" w:color="auto"/>
                                <w:left w:val="none" w:sz="0" w:space="0" w:color="auto"/>
                                <w:bottom w:val="none" w:sz="0" w:space="0" w:color="auto"/>
                                <w:right w:val="none" w:sz="0" w:space="0" w:color="auto"/>
                              </w:divBdr>
                              <w:divsChild>
                                <w:div w:id="1101103062">
                                  <w:marLeft w:val="0"/>
                                  <w:marRight w:val="0"/>
                                  <w:marTop w:val="0"/>
                                  <w:marBottom w:val="0"/>
                                  <w:divBdr>
                                    <w:top w:val="none" w:sz="0" w:space="0" w:color="auto"/>
                                    <w:left w:val="none" w:sz="0" w:space="0" w:color="auto"/>
                                    <w:bottom w:val="none" w:sz="0" w:space="0" w:color="auto"/>
                                    <w:right w:val="none" w:sz="0" w:space="0" w:color="auto"/>
                                  </w:divBdr>
                                  <w:divsChild>
                                    <w:div w:id="91168949">
                                      <w:marLeft w:val="0"/>
                                      <w:marRight w:val="0"/>
                                      <w:marTop w:val="0"/>
                                      <w:marBottom w:val="0"/>
                                      <w:divBdr>
                                        <w:top w:val="none" w:sz="0" w:space="0" w:color="auto"/>
                                        <w:left w:val="none" w:sz="0" w:space="0" w:color="auto"/>
                                        <w:bottom w:val="none" w:sz="0" w:space="0" w:color="auto"/>
                                        <w:right w:val="none" w:sz="0" w:space="0" w:color="auto"/>
                                      </w:divBdr>
                                      <w:divsChild>
                                        <w:div w:id="828250414">
                                          <w:marLeft w:val="0"/>
                                          <w:marRight w:val="0"/>
                                          <w:marTop w:val="0"/>
                                          <w:marBottom w:val="495"/>
                                          <w:divBdr>
                                            <w:top w:val="none" w:sz="0" w:space="0" w:color="auto"/>
                                            <w:left w:val="none" w:sz="0" w:space="0" w:color="auto"/>
                                            <w:bottom w:val="none" w:sz="0" w:space="0" w:color="auto"/>
                                            <w:right w:val="none" w:sz="0" w:space="0" w:color="auto"/>
                                          </w:divBdr>
                                          <w:divsChild>
                                            <w:div w:id="3263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jp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A0102C25D40452429E42C668D67502D0" ma:contentTypeVersion="4" ma:contentTypeDescription="Defines the documents for Document Manager V2" ma:contentTypeScope="" ma:versionID="2a96705903b577caadbb293d43251952">
  <xsd:schema xmlns:xsd="http://www.w3.org/2001/XMLSchema" xmlns:xs="http://www.w3.org/2001/XMLSchema" xmlns:p="http://schemas.microsoft.com/office/2006/metadata/properties" xmlns:ns2="fa50c78c-f4f4-481c-9f4f-2304ef344578" xmlns:ns3="http://schemas.microsoft.com/sharepoint/v3/fields" xmlns:ns4="5a6d194d-085c-4fe5-aa39-cb3bd8cd3b70" targetNamespace="http://schemas.microsoft.com/office/2006/metadata/properties" ma:root="true" ma:fieldsID="1a39d12cf7b8a256d3f09db72ac5be6f" ns2:_="" ns3:_="" ns4:_="">
    <xsd:import namespace="fa50c78c-f4f4-481c-9f4f-2304ef344578"/>
    <xsd:import namespace="http://schemas.microsoft.com/sharepoint/v3/fields"/>
    <xsd:import namespace="5a6d194d-085c-4fe5-aa39-cb3bd8cd3b7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6d194d-085c-4fe5-aa39-cb3bd8cd3b7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4HZEMHAC3EDJ-10-1748</_dlc_DocId>
    <_dlc_DocIdUrl xmlns="fa50c78c-f4f4-481c-9f4f-2304ef344578">
      <Url>http://dm/CoR/2018/_layouts/DocIdRedir.aspx?ID=4HZEMHAC3EDJ-10-1748</Url>
      <Description>4HZEMHAC3EDJ-10-1748</Description>
    </_dlc_DocIdUrl>
    <MeetingNumber xmlns="5a6d194d-085c-4fe5-aa39-cb3bd8cd3b70">22</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DT</TermName>
          <TermId xmlns="http://schemas.microsoft.com/office/infopath/2007/PartnerControls">25c86c03-f029-4a57-bd6c-25106fad060c</TermId>
        </TermInfo>
      </Terms>
    </DocumentType_0>
    <Procedure xmlns="fa50c78c-f4f4-481c-9f4f-2304ef344578"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SEDEC-VI</TermName>
          <TermId xmlns="http://schemas.microsoft.com/office/infopath/2007/PartnerControls">f06eb240-9dba-4299-813c-b6d38e9a15c0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2019-01-30T12:00:00+00:00</ProductionDate>
    <DocumentNumber xmlns="5a6d194d-085c-4fe5-aa39-cb3bd8cd3b70">6435</DocumentNumber>
    <FicheYear xmlns="fa50c78c-f4f4-481c-9f4f-2304ef344578">2018</FicheYear>
    <DocumentVersion xmlns="fa50c78c-f4f4-481c-9f4f-2304ef344578">1</DocumentVersion>
    <DossierNumber xmlns="fa50c78c-f4f4-481c-9f4f-2304ef344578">49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2019-02-18T12:00:00+00:00</MeetingDate>
    <TaxCatchAll xmlns="fa50c78c-f4f4-481c-9f4f-2304ef344578">
      <Value>39</Value>
      <Value>32</Value>
      <Value>40</Value>
      <Value>27</Value>
      <Value>38</Value>
      <Value>37</Value>
      <Value>36</Value>
      <Value>35</Value>
      <Value>34</Value>
      <Value>33</Value>
      <Value>26</Value>
      <Value>31</Value>
      <Value>30</Value>
      <Value>29</Value>
      <Value>28</Value>
      <Value>74</Value>
      <Value>73</Value>
      <Value>23</Value>
      <Value>19</Value>
      <Value>18</Value>
      <Value>17</Value>
      <Value>15</Value>
      <Value>13</Value>
      <Value>11</Value>
      <Value>7</Value>
      <Value>5</Value>
      <Value>4</Value>
      <Value>50</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fa50c78c-f4f4-481c-9f4f-2304ef344578">BORBOLY</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fa50c78c-f4f4-481c-9f4f-2304ef344578">891</FicheNumber>
    <DocumentYear xmlns="fa50c78c-f4f4-481c-9f4f-2304ef344578">2018</DocumentYear>
    <AdoptionDate xmlns="fa50c78c-f4f4-481c-9f4f-2304ef344578" xsi:nil="tru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SEDEC-VI</TermName>
          <TermId xmlns="http://schemas.microsoft.com/office/infopath/2007/PartnerControls">9dc7ca8b-742b-490e-a49f-907d997f3e13</TermId>
        </TermInfo>
      </Terms>
    </MeetingName_0>
    <RequestingService xmlns="fa50c78c-f4f4-481c-9f4f-2304ef344578">Commission SEDEC</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Props1.xml><?xml version="1.0" encoding="utf-8"?>
<ds:datastoreItem xmlns:ds="http://schemas.openxmlformats.org/officeDocument/2006/customXml" ds:itemID="{E678C1D8-DEAF-49B1-B62F-9C0402037090}"/>
</file>

<file path=customXml/itemProps2.xml><?xml version="1.0" encoding="utf-8"?>
<ds:datastoreItem xmlns:ds="http://schemas.openxmlformats.org/officeDocument/2006/customXml" ds:itemID="{FA1FF609-F1C0-4745-9C2A-A8A69C66BD92}"/>
</file>

<file path=customXml/itemProps3.xml><?xml version="1.0" encoding="utf-8"?>
<ds:datastoreItem xmlns:ds="http://schemas.openxmlformats.org/officeDocument/2006/customXml" ds:itemID="{BDA28300-77A1-43FB-92DB-055CDEC6B94C}"/>
</file>

<file path=customXml/itemProps4.xml><?xml version="1.0" encoding="utf-8"?>
<ds:datastoreItem xmlns:ds="http://schemas.openxmlformats.org/officeDocument/2006/customXml" ds:itemID="{6C3A5789-6B15-44C0-878D-A10E1D288E41}"/>
</file>

<file path=docProps/app.xml><?xml version="1.0" encoding="utf-8"?>
<Properties xmlns="http://schemas.openxmlformats.org/officeDocument/2006/extended-properties" xmlns:vt="http://schemas.openxmlformats.org/officeDocument/2006/docPropsVTypes">
  <Template>Styles.dotm</Template>
  <TotalTime>3</TotalTime>
  <Pages>6</Pages>
  <Words>1183</Words>
  <Characters>6866</Characters>
  <Application>Microsoft Office Word</Application>
  <DocSecurity>0</DocSecurity>
  <Lines>57</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F_SOC6-2007_DOC-INT_HU</vt:lpstr>
      <vt:lpstr>F_SOC6-2007_DOC-INT_HU</vt:lpstr>
    </vt:vector>
  </TitlesOfParts>
  <Company>CESE-CdR</Company>
  <LinksUpToDate>false</LinksUpToDate>
  <CharactersWithSpaces>8033</CharactersWithSpaces>
  <SharedDoc>false</SharedDoc>
  <HLinks>
    <vt:vector size="18" baseType="variant">
      <vt:variant>
        <vt:i4>3014714</vt:i4>
      </vt:variant>
      <vt:variant>
        <vt:i4>3</vt:i4>
      </vt:variant>
      <vt:variant>
        <vt:i4>0</vt:i4>
      </vt:variant>
      <vt:variant>
        <vt:i4>5</vt:i4>
      </vt:variant>
      <vt:variant>
        <vt:lpwstr>http://toad.cor.europa.eu/CORHelp.aspx</vt:lpwstr>
      </vt:variant>
      <vt:variant>
        <vt:lpwstr/>
      </vt:variant>
      <vt:variant>
        <vt:i4>1048588</vt:i4>
      </vt:variant>
      <vt:variant>
        <vt:i4>0</vt:i4>
      </vt:variant>
      <vt:variant>
        <vt:i4>0</vt:i4>
      </vt:variant>
      <vt:variant>
        <vt:i4>5</vt:i4>
      </vt:variant>
      <vt:variant>
        <vt:lpwstr>http://cor.europa.eu/members</vt:lpwstr>
      </vt:variant>
      <vt:variant>
        <vt:lpwstr/>
      </vt:variant>
      <vt:variant>
        <vt:i4>393231</vt:i4>
      </vt:variant>
      <vt:variant>
        <vt:i4>0</vt:i4>
      </vt:variant>
      <vt:variant>
        <vt:i4>0</vt:i4>
      </vt:variant>
      <vt:variant>
        <vt:i4>5</vt:i4>
      </vt:variant>
      <vt:variant>
        <vt:lpwstr>http://www.cor.europa.eu/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Consolidarea educației STI(A)M în UE</dc:title>
  <dc:creator>Csak Laszlo</dc:creator>
  <cp:keywords>COR-2018-06435-00-01-DT-TRA-EN</cp:keywords>
  <dc:description>Rapporteur: BORBOLY - Original language: EN, HU - Date of document: 30/01/2019 - Date of meeting: 18/02/2019 - External documents:  - Administrator: M. Hobjila Doru-Iulian</dc:description>
  <cp:lastModifiedBy>dale</cp:lastModifiedBy>
  <cp:revision>5</cp:revision>
  <cp:lastPrinted>2007-01-24T13:01:00Z</cp:lastPrinted>
  <dcterms:created xsi:type="dcterms:W3CDTF">2019-01-30T10:39:00Z</dcterms:created>
  <dcterms:modified xsi:type="dcterms:W3CDTF">2019-01-30T10:42:00Z</dcterms:modified>
  <cp:category>SEDEC-VI/49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Pref_formatted">
    <vt:bool>true</vt:bool>
  </property>
  <property fmtid="{D5CDD505-2E9C-101B-9397-08002B2CF9AE}" pid="4" name="Pref_Date">
    <vt:lpwstr>24/01/2019, 23/01/2019</vt:lpwstr>
  </property>
  <property fmtid="{D5CDD505-2E9C-101B-9397-08002B2CF9AE}" pid="5" name="Pref_Time">
    <vt:lpwstr>15:13:41, 15:55:43</vt:lpwstr>
  </property>
  <property fmtid="{D5CDD505-2E9C-101B-9397-08002B2CF9AE}" pid="6" name="Pref_User">
    <vt:lpwstr>mkop, enied</vt:lpwstr>
  </property>
  <property fmtid="{D5CDD505-2E9C-101B-9397-08002B2CF9AE}" pid="7" name="Pref_FileName">
    <vt:lpwstr>COR-2018-06435-00-01-DT-ORI.docx, COR-2018-06435-00-00-DT-TRA-HU-CRR.docx</vt:lpwstr>
  </property>
  <property fmtid="{D5CDD505-2E9C-101B-9397-08002B2CF9AE}" pid="8" name="ContentTypeId">
    <vt:lpwstr>0x010100EA97B91038054C99906057A708A1480A00A0102C25D40452429E42C668D67502D0</vt:lpwstr>
  </property>
  <property fmtid="{D5CDD505-2E9C-101B-9397-08002B2CF9AE}" pid="9" name="_dlc_DocIdItemGuid">
    <vt:lpwstr>af49d85b-858b-4646-85f1-931484a5edd9</vt:lpwstr>
  </property>
  <property fmtid="{D5CDD505-2E9C-101B-9397-08002B2CF9AE}" pid="10" name="MeetingNumber">
    <vt:i4>22</vt:i4>
  </property>
  <property fmtid="{D5CDD505-2E9C-101B-9397-08002B2CF9AE}" pid="11" name="DocumentType_0">
    <vt:lpwstr>DT|25c86c03-f029-4a57-bd6c-25106fad060c</vt:lpwstr>
  </property>
  <property fmtid="{D5CDD505-2E9C-101B-9397-08002B2CF9AE}" pid="12" name="AvailableTranslations">
    <vt:lpwstr>19;#PL|1e03da61-4678-4e07-b136-b5024ca9197b;#38;#ET|ff6c3f4c-b02c-4c3c-ab07-2c37995a7a0a;#30;#LV|46f7e311-5d9f-4663-b433-18aeccb7ace7;#36;#DA|5d49c027-8956-412b-aa16-e85a0f96ad0e;#15;#EL|6d4f4d51-af9b-4650-94b4-4276bee85c91;#28;#PT|50ccc04a-eadd-42ae-a0cb-acaf45f812ba;#40;#LT|a7ff5ce7-6123-4f68-865a-a57c31810414;#34;#SL|98a412ae-eb01-49e9-ae3d-585a81724cfc;#26;#MT|7df99101-6854-4a26-b53a-b88c0da02c26;#23;#FR|d2afafd3-4c81-4f60-8f52-ee33f2f54ff3;#17;#HU|6b229040-c589-4408-b4c1-4285663d20a8;#35;#RO|feb747a2-64cd-4299-af12-4833ddc30497;#13;#DE|f6b31e5a-26fa-4935-b661-318e46daf27e;#29;#BG|1a1b3951-7821-4e6a-85f5-5673fc08bd2c;#32;#FI|87606a43-d45f-42d6-b8c9-e1a3457db5b7;#4;#EN|f2175f21-25d7-44a3-96da-d6a61b075e1b;#37;#SK|46d9fce0-ef79-4f71-b89b-cd6aa82426b8;#18;#SV|c2ed69e7-a339-43d7-8f22-d93680a92aa0;#33;#HR|2f555653-ed1a-4fe6-8362-9082d95989e5;#31;#IT|0774613c-01ed-4e5d-a25d-11d2388de825;#27;#NL|55c6556c-b4f4-441d-9acf-c498d4f838bd;#39;#CS|72f9705b-0217-4fd3-bea2-cbc7ed80e26e;#11;#ES|e7a6b05b-ae16-40c8-add9-68b64b03aeba</vt:lpwstr>
  </property>
  <property fmtid="{D5CDD505-2E9C-101B-9397-08002B2CF9AE}" pid="13" name="DossierName_0">
    <vt:lpwstr>SEDEC-VI|f06eb240-9dba-4299-813c-b6d38e9a15c0</vt:lpwstr>
  </property>
  <property fmtid="{D5CDD505-2E9C-101B-9397-08002B2CF9AE}" pid="14" name="DocumentSource_0">
    <vt:lpwstr>CoR|cb2d75ef-4a7d-4393-b797-49ed6298a5ea</vt:lpwstr>
  </property>
  <property fmtid="{D5CDD505-2E9C-101B-9397-08002B2CF9AE}" pid="15" name="FicheYear">
    <vt:i4>2018</vt:i4>
  </property>
  <property fmtid="{D5CDD505-2E9C-101B-9397-08002B2CF9AE}" pid="16" name="DocumentNumber">
    <vt:i4>6435</vt:i4>
  </property>
  <property fmtid="{D5CDD505-2E9C-101B-9397-08002B2CF9AE}" pid="17" name="DocumentVersion">
    <vt:i4>1</vt:i4>
  </property>
  <property fmtid="{D5CDD505-2E9C-101B-9397-08002B2CF9AE}" pid="18" name="DossierNumber">
    <vt:i4>49</vt:i4>
  </property>
  <property fmtid="{D5CDD505-2E9C-101B-9397-08002B2CF9AE}" pid="19" name="DocumentSource">
    <vt:lpwstr>1;#CoR|cb2d75ef-4a7d-4393-b797-49ed6298a5ea</vt:lpwstr>
  </property>
  <property fmtid="{D5CDD505-2E9C-101B-9397-08002B2CF9AE}" pid="21" name="DocumentType">
    <vt:lpwstr>74;#DT|25c86c03-f029-4a57-bd6c-25106fad060c</vt:lpwstr>
  </property>
  <property fmtid="{D5CDD505-2E9C-101B-9397-08002B2CF9AE}" pid="22" name="DocumentStatus">
    <vt:lpwstr>2;#TRA|150d2a88-1431-44e6-a8ca-0bb753ab8672</vt:lpwstr>
  </property>
  <property fmtid="{D5CDD505-2E9C-101B-9397-08002B2CF9AE}" pid="23" name="DossierName">
    <vt:lpwstr>73;#SEDEC-VI|f06eb240-9dba-4299-813c-b6d38e9a15c0</vt:lpwstr>
  </property>
  <property fmtid="{D5CDD505-2E9C-101B-9397-08002B2CF9AE}" pid="24" name="DocumentPart">
    <vt:i4>0</vt:i4>
  </property>
  <property fmtid="{D5CDD505-2E9C-101B-9397-08002B2CF9AE}" pid="25" name="RequestingService">
    <vt:lpwstr>Commission SEDEC</vt:lpwstr>
  </property>
  <property fmtid="{D5CDD505-2E9C-101B-9397-08002B2CF9AE}" pid="26" name="Confidentiality">
    <vt:lpwstr>5;#Unrestricted|826e22d7-d029-4ec0-a450-0c28ff673572</vt:lpwstr>
  </property>
  <property fmtid="{D5CDD505-2E9C-101B-9397-08002B2CF9AE}" pid="27" name="Confidentiality_0">
    <vt:lpwstr>Unrestricted|826e22d7-d029-4ec0-a450-0c28ff673572</vt:lpwstr>
  </property>
  <property fmtid="{D5CDD505-2E9C-101B-9397-08002B2CF9AE}" pid="28" name="MeetingName_0">
    <vt:lpwstr>SEDEC-VI|9dc7ca8b-742b-490e-a49f-907d997f3e13</vt:lpwstr>
  </property>
  <property fmtid="{D5CDD505-2E9C-101B-9397-08002B2CF9AE}" pid="29" name="OriginalLanguage">
    <vt:lpwstr>4;#EN|f2175f21-25d7-44a3-96da-d6a61b075e1b;#17;#HU|6b229040-c589-4408-b4c1-4285663d20a8</vt:lpwstr>
  </property>
  <property fmtid="{D5CDD505-2E9C-101B-9397-08002B2CF9AE}" pid="30" name="MeetingName">
    <vt:lpwstr>50;#SEDEC-VI|9dc7ca8b-742b-490e-a49f-907d997f3e13</vt:lpwstr>
  </property>
  <property fmtid="{D5CDD505-2E9C-101B-9397-08002B2CF9AE}" pid="31" name="DocumentStatus_0">
    <vt:lpwstr>TRA|150d2a88-1431-44e6-a8ca-0bb753ab8672</vt:lpwstr>
  </property>
  <property fmtid="{D5CDD505-2E9C-101B-9397-08002B2CF9AE}" pid="32" name="OriginalLanguage_0">
    <vt:lpwstr>EN|f2175f21-25d7-44a3-96da-d6a61b075e1b;HU|6b229040-c589-4408-b4c1-4285663d20a8</vt:lpwstr>
  </property>
  <property fmtid="{D5CDD505-2E9C-101B-9397-08002B2CF9AE}" pid="33" name="MeetingDate">
    <vt:filetime>2019-02-18T12:00:00Z</vt:filetime>
  </property>
  <property fmtid="{D5CDD505-2E9C-101B-9397-08002B2CF9AE}" pid="34" name="TaxCatchAll">
    <vt:lpwstr>34;#SL|98a412ae-eb01-49e9-ae3d-585a81724cfc;#27;#NL|55c6556c-b4f4-441d-9acf-c498d4f838bd;#31;#IT|0774613c-01ed-4e5d-a25d-11d2388de825;#73;#SEDEC-VI|f06eb240-9dba-4299-813c-b6d38e9a15c0;#29;#BG|1a1b3951-7821-4e6a-85f5-5673fc08bd2c;#74;#DT|25c86c03-f029-4a57-bd6c-25106fad060c;#26;#MT|7df99101-6854-4a26-b53a-b88c0da02c26;#23;#FR|d2afafd3-4c81-4f60-8f52-ee33f2f54ff3;#19;#PL|1e03da61-4678-4e07-b136-b5024ca9197b;#17;#HU|6b229040-c589-4408-b4c1-4285663d20a8;#11;#ES|e7a6b05b-ae16-40c8-add9-68b64b03aeba;#7;#Final|ea5e6674-7b27-4bac-b091-73adbb394efe;#5;#Unrestricted|826e22d7-d029-4ec0-a450-0c28ff673572;#4;#EN|f2175f21-25d7-44a3-96da-d6a61b075e1b;#50;#SEDEC-VI|9dc7ca8b-742b-490e-a49f-907d997f3e13;#2;#TRA|150d2a88-1431-44e6-a8ca-0bb753ab8672;#1;#CoR|cb2d75ef-4a7d-4393-b797-49ed6298a5ea</vt:lpwstr>
  </property>
  <property fmtid="{D5CDD505-2E9C-101B-9397-08002B2CF9AE}" pid="35" name="AvailableTranslations_0">
    <vt:lpwstr>PL|1e03da61-4678-4e07-b136-b5024ca9197b;SL|98a412ae-eb01-49e9-ae3d-585a81724cfc;MT|7df99101-6854-4a26-b53a-b88c0da02c26;FR|d2afafd3-4c81-4f60-8f52-ee33f2f54ff3;HU|6b229040-c589-4408-b4c1-4285663d20a8;BG|1a1b3951-7821-4e6a-85f5-5673fc08bd2c;IT|0774613c-01ed-4e5d-a25d-11d2388de825;NL|55c6556c-b4f4-441d-9acf-c498d4f838bd;ES|e7a6b05b-ae16-40c8-add9-68b64b03aeba</vt:lpwstr>
  </property>
  <property fmtid="{D5CDD505-2E9C-101B-9397-08002B2CF9AE}" pid="36" name="VersionStatus">
    <vt:lpwstr>7;#Final|ea5e6674-7b27-4bac-b091-73adbb394efe</vt:lpwstr>
  </property>
  <property fmtid="{D5CDD505-2E9C-101B-9397-08002B2CF9AE}" pid="37" name="Rapporteur">
    <vt:lpwstr>BORBOLY</vt:lpwstr>
  </property>
  <property fmtid="{D5CDD505-2E9C-101B-9397-08002B2CF9AE}" pid="38" name="VersionStatus_0">
    <vt:lpwstr>Final|ea5e6674-7b27-4bac-b091-73adbb394efe</vt:lpwstr>
  </property>
  <property fmtid="{D5CDD505-2E9C-101B-9397-08002B2CF9AE}" pid="39" name="FicheNumber">
    <vt:i4>891</vt:i4>
  </property>
  <property fmtid="{D5CDD505-2E9C-101B-9397-08002B2CF9AE}" pid="40" name="DocumentYear">
    <vt:i4>2018</vt:i4>
  </property>
  <property fmtid="{D5CDD505-2E9C-101B-9397-08002B2CF9AE}" pid="41" name="DocumentLanguage">
    <vt:lpwstr>35;#RO|feb747a2-64cd-4299-af12-4833ddc30497</vt:lpwstr>
  </property>
</Properties>
</file>